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EE0" w:rsidRPr="00094BBC" w:rsidRDefault="009C6EE0" w:rsidP="00A25DE8">
      <w:pPr>
        <w:adjustRightInd w:val="0"/>
        <w:snapToGrid w:val="0"/>
        <w:spacing w:line="360" w:lineRule="auto"/>
        <w:jc w:val="center"/>
        <w:rPr>
          <w:rFonts w:ascii="黑体" w:eastAsia="黑体" w:hAnsi="黑体" w:cs="微软雅黑"/>
          <w:sz w:val="36"/>
          <w:szCs w:val="36"/>
        </w:rPr>
      </w:pPr>
      <w:bookmarkStart w:id="0" w:name="_GoBack"/>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44"/>
          <w:szCs w:val="44"/>
        </w:rPr>
      </w:pPr>
      <w:r w:rsidRPr="00094BBC">
        <w:rPr>
          <w:rFonts w:ascii="黑体" w:eastAsia="黑体" w:hAnsi="黑体" w:cs="微软雅黑" w:hint="eastAsia"/>
          <w:sz w:val="44"/>
          <w:szCs w:val="44"/>
        </w:rPr>
        <w:t>山东大学软件学院数字媒体专业</w:t>
      </w:r>
    </w:p>
    <w:p w:rsidR="009C6EE0" w:rsidRPr="00094BBC" w:rsidRDefault="009C6EE0" w:rsidP="00A25DE8">
      <w:pPr>
        <w:adjustRightInd w:val="0"/>
        <w:snapToGrid w:val="0"/>
        <w:spacing w:line="360" w:lineRule="auto"/>
        <w:jc w:val="center"/>
        <w:rPr>
          <w:rFonts w:ascii="黑体" w:eastAsia="黑体" w:hAnsi="黑体" w:cs="微软雅黑"/>
          <w:sz w:val="44"/>
          <w:szCs w:val="44"/>
        </w:rPr>
      </w:pPr>
      <w:r w:rsidRPr="00094BBC">
        <w:rPr>
          <w:rFonts w:ascii="黑体" w:eastAsia="黑体" w:hAnsi="黑体" w:cs="微软雅黑" w:hint="eastAsia"/>
          <w:sz w:val="44"/>
          <w:szCs w:val="44"/>
        </w:rPr>
        <w:t>人才培养状况年度报告</w:t>
      </w:r>
    </w:p>
    <w:p w:rsidR="009C6EE0" w:rsidRPr="00094BBC" w:rsidRDefault="009C6EE0" w:rsidP="00A25DE8">
      <w:pPr>
        <w:adjustRightInd w:val="0"/>
        <w:snapToGrid w:val="0"/>
        <w:spacing w:line="360" w:lineRule="auto"/>
        <w:jc w:val="center"/>
        <w:rPr>
          <w:rFonts w:ascii="黑体" w:eastAsia="黑体" w:hAnsi="黑体" w:cs="微软雅黑"/>
          <w:sz w:val="44"/>
          <w:szCs w:val="44"/>
        </w:rPr>
      </w:pPr>
      <w:r w:rsidRPr="00094BBC">
        <w:rPr>
          <w:rFonts w:ascii="黑体" w:eastAsia="黑体" w:hAnsi="黑体" w:cs="微软雅黑" w:hint="eastAsia"/>
          <w:sz w:val="44"/>
          <w:szCs w:val="44"/>
        </w:rPr>
        <w:t>（</w:t>
      </w:r>
      <w:r w:rsidRPr="00094BBC">
        <w:rPr>
          <w:rFonts w:ascii="黑体" w:eastAsia="黑体" w:hAnsi="黑体" w:cs="微软雅黑"/>
          <w:sz w:val="44"/>
          <w:szCs w:val="44"/>
        </w:rPr>
        <w:t>2016</w:t>
      </w:r>
      <w:r w:rsidRPr="00094BBC">
        <w:rPr>
          <w:rFonts w:ascii="黑体" w:eastAsia="黑体" w:hAnsi="黑体" w:cs="微软雅黑" w:hint="eastAsia"/>
          <w:sz w:val="44"/>
          <w:szCs w:val="44"/>
        </w:rPr>
        <w:t>年）</w:t>
      </w:r>
    </w:p>
    <w:p w:rsidR="009C6EE0" w:rsidRPr="00094BBC" w:rsidRDefault="009C6EE0" w:rsidP="00A25DE8">
      <w:pPr>
        <w:adjustRightInd w:val="0"/>
        <w:snapToGrid w:val="0"/>
        <w:spacing w:line="360" w:lineRule="auto"/>
        <w:jc w:val="center"/>
        <w:rPr>
          <w:rFonts w:ascii="黑体" w:eastAsia="黑体" w:hAnsi="黑体" w:cs="微软雅黑"/>
          <w:sz w:val="44"/>
          <w:szCs w:val="44"/>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p>
    <w:p w:rsidR="009C6EE0" w:rsidRPr="00094BBC" w:rsidRDefault="009C6EE0" w:rsidP="00A25DE8">
      <w:pPr>
        <w:adjustRightInd w:val="0"/>
        <w:snapToGrid w:val="0"/>
        <w:spacing w:line="360" w:lineRule="auto"/>
        <w:jc w:val="center"/>
        <w:rPr>
          <w:rFonts w:ascii="黑体" w:eastAsia="黑体" w:hAnsi="黑体" w:cs="微软雅黑"/>
          <w:sz w:val="36"/>
          <w:szCs w:val="36"/>
        </w:rPr>
      </w:pPr>
      <w:r w:rsidRPr="00094BBC">
        <w:rPr>
          <w:rFonts w:ascii="黑体" w:eastAsia="黑体" w:hAnsi="黑体" w:cs="微软雅黑" w:hint="eastAsia"/>
          <w:sz w:val="36"/>
          <w:szCs w:val="36"/>
        </w:rPr>
        <w:t>山东大学</w:t>
      </w:r>
      <w:r w:rsidRPr="00094BBC">
        <w:rPr>
          <w:rFonts w:ascii="黑体" w:eastAsia="黑体" w:hAnsi="黑体" w:cs="微软雅黑"/>
          <w:sz w:val="36"/>
          <w:szCs w:val="36"/>
        </w:rPr>
        <w:t xml:space="preserve"> </w:t>
      </w:r>
      <w:r w:rsidRPr="00094BBC">
        <w:rPr>
          <w:rFonts w:ascii="黑体" w:eastAsia="黑体" w:hAnsi="黑体" w:cs="微软雅黑" w:hint="eastAsia"/>
          <w:sz w:val="36"/>
          <w:szCs w:val="36"/>
        </w:rPr>
        <w:t>软件学院</w:t>
      </w:r>
      <w:r w:rsidRPr="00094BBC">
        <w:rPr>
          <w:rFonts w:ascii="黑体" w:eastAsia="黑体" w:hAnsi="黑体" w:cs="微软雅黑"/>
          <w:sz w:val="36"/>
          <w:szCs w:val="36"/>
        </w:rPr>
        <w:br w:type="page"/>
      </w:r>
    </w:p>
    <w:p w:rsidR="009C6EE0" w:rsidRPr="00094BBC" w:rsidRDefault="009C6EE0" w:rsidP="00833DC7">
      <w:pPr>
        <w:adjustRightInd w:val="0"/>
        <w:snapToGrid w:val="0"/>
        <w:spacing w:beforeLines="50" w:line="360" w:lineRule="auto"/>
        <w:ind w:firstLineChars="200" w:firstLine="31680"/>
        <w:rPr>
          <w:rFonts w:ascii="仿宋_GB2312" w:eastAsia="仿宋_GB2312"/>
          <w:sz w:val="28"/>
          <w:szCs w:val="28"/>
        </w:rPr>
      </w:pPr>
      <w:r w:rsidRPr="00094BBC">
        <w:rPr>
          <w:rFonts w:ascii="仿宋_GB2312" w:eastAsia="仿宋_GB2312" w:hint="eastAsia"/>
          <w:sz w:val="28"/>
          <w:szCs w:val="28"/>
        </w:rPr>
        <w:t>数字媒体技术专业是信息领域最具创新力、想象力和发展活力的专业之一，培养面向数字媒体与数字内容产业应用需求的人才。该专业是山东大学软件学院与艺术学院交叉融合建设的山东大学首个交叉专业，拥有“数字媒体技术”教育部工程研究中心，成为国内有影响力的数字媒体示范专业。</w:t>
      </w:r>
    </w:p>
    <w:p w:rsidR="009C6EE0" w:rsidRPr="00094BBC" w:rsidRDefault="009C6EE0" w:rsidP="00833DC7">
      <w:pPr>
        <w:adjustRightInd w:val="0"/>
        <w:snapToGrid w:val="0"/>
        <w:spacing w:beforeLines="50" w:line="360" w:lineRule="auto"/>
        <w:ind w:firstLineChars="200" w:firstLine="31680"/>
        <w:rPr>
          <w:rFonts w:ascii="黑体" w:eastAsia="黑体" w:hAnsi="黑体" w:cs="黑体"/>
          <w:b/>
          <w:sz w:val="28"/>
          <w:szCs w:val="28"/>
        </w:rPr>
      </w:pPr>
      <w:r w:rsidRPr="00094BBC">
        <w:rPr>
          <w:rFonts w:ascii="黑体" w:eastAsia="黑体" w:hAnsi="黑体" w:cs="黑体" w:hint="eastAsia"/>
          <w:b/>
          <w:sz w:val="28"/>
          <w:szCs w:val="28"/>
        </w:rPr>
        <w:t>一、人才培养目标</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山东大学数字媒体专业培养学生具备扎实的专业基础和宽广的知识面，特别是计算机与人文艺术的交叉知识，具备较强的计算机数字媒体软件和系统开发能力或者较强的</w:t>
      </w:r>
      <w:r w:rsidRPr="00094BBC">
        <w:rPr>
          <w:rFonts w:ascii="仿宋_GB2312" w:eastAsia="仿宋_GB2312"/>
          <w:sz w:val="28"/>
          <w:szCs w:val="28"/>
        </w:rPr>
        <w:t>3D</w:t>
      </w:r>
      <w:r w:rsidRPr="00094BBC">
        <w:rPr>
          <w:rFonts w:ascii="仿宋_GB2312" w:eastAsia="仿宋_GB2312" w:hint="eastAsia"/>
          <w:sz w:val="28"/>
          <w:szCs w:val="28"/>
        </w:rPr>
        <w:t>动画设计与制作能力，较高的艺术鉴赏和沟通能力，以及初步的艺术创作技能，富有创新精神，面向计算机游戏、数字影视动漫、数字新媒体等领域培养国际化、复合型、创新性人才，或者在数字媒体技术领域继续深造的研究型人才。</w:t>
      </w:r>
    </w:p>
    <w:p w:rsidR="009C6EE0" w:rsidRPr="00094BBC" w:rsidRDefault="009C6EE0" w:rsidP="00833DC7">
      <w:pPr>
        <w:adjustRightInd w:val="0"/>
        <w:snapToGrid w:val="0"/>
        <w:spacing w:beforeLines="50" w:line="360" w:lineRule="auto"/>
        <w:ind w:firstLineChars="200" w:firstLine="31680"/>
        <w:rPr>
          <w:rFonts w:ascii="黑体" w:eastAsia="黑体" w:hAnsi="黑体" w:cs="黑体"/>
          <w:b/>
          <w:sz w:val="28"/>
          <w:szCs w:val="28"/>
        </w:rPr>
      </w:pPr>
      <w:r w:rsidRPr="00094BBC">
        <w:rPr>
          <w:rFonts w:ascii="黑体" w:eastAsia="黑体" w:hAnsi="黑体" w:cs="黑体" w:hint="eastAsia"/>
          <w:b/>
          <w:sz w:val="28"/>
          <w:szCs w:val="28"/>
        </w:rPr>
        <w:t>二、培养能力</w:t>
      </w:r>
    </w:p>
    <w:p w:rsidR="009C6EE0" w:rsidRPr="00094BBC" w:rsidRDefault="009C6EE0" w:rsidP="00833DC7">
      <w:pPr>
        <w:adjustRightInd w:val="0"/>
        <w:snapToGrid w:val="0"/>
        <w:spacing w:beforeLines="50" w:line="360" w:lineRule="auto"/>
        <w:ind w:firstLineChars="200" w:firstLine="31680"/>
        <w:rPr>
          <w:rFonts w:ascii="黑体" w:eastAsia="黑体" w:hAnsi="黑体" w:cs="黑体"/>
          <w:b/>
          <w:sz w:val="28"/>
          <w:szCs w:val="28"/>
        </w:rPr>
      </w:pPr>
      <w:r w:rsidRPr="00094BBC">
        <w:rPr>
          <w:rFonts w:ascii="黑体" w:eastAsia="黑体" w:hAnsi="黑体" w:cs="黑体" w:hint="eastAsia"/>
          <w:b/>
          <w:sz w:val="28"/>
          <w:szCs w:val="28"/>
        </w:rPr>
        <w:t>（一）专业设置情况</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数字媒体技术专业是信息领域最具创新力、想象力和发展活力的专业之一，培养面向数字媒体与数字内容产业应用需求的人才。专业现有两个专业方向，数字娱乐应用设计与开发方向侧重计算机游戏、移动互联网络下交互式数字娱乐应用设计与开发；动画设计与制作方向侧重影视特效设计、</w:t>
      </w:r>
      <w:r w:rsidRPr="00094BBC">
        <w:rPr>
          <w:rFonts w:ascii="仿宋_GB2312" w:eastAsia="仿宋_GB2312"/>
          <w:sz w:val="28"/>
          <w:szCs w:val="28"/>
        </w:rPr>
        <w:t>3D</w:t>
      </w:r>
      <w:r w:rsidRPr="00094BBC">
        <w:rPr>
          <w:rFonts w:ascii="仿宋_GB2312" w:eastAsia="仿宋_GB2312" w:hint="eastAsia"/>
          <w:sz w:val="28"/>
          <w:szCs w:val="28"/>
        </w:rPr>
        <w:t>动画角色场景建模、运动建模、材质与灯光设计以及动画渲染。毕业生主要就业去向是电视、电影、广告、出版、图书、新闻等文化行业和各类媒体与网络企业。</w:t>
      </w:r>
      <w:r w:rsidRPr="00094BBC">
        <w:rPr>
          <w:rFonts w:ascii="仿宋_GB2312" w:eastAsia="仿宋_GB2312"/>
          <w:sz w:val="28"/>
          <w:szCs w:val="28"/>
        </w:rPr>
        <w:t>95%</w:t>
      </w:r>
      <w:r w:rsidRPr="00094BBC">
        <w:rPr>
          <w:rFonts w:ascii="仿宋_GB2312" w:eastAsia="仿宋_GB2312" w:hint="eastAsia"/>
          <w:sz w:val="28"/>
          <w:szCs w:val="28"/>
        </w:rPr>
        <w:t>以上的毕业生可以实现高质量就业或继续深造。</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（二）在校生规模</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截止</w:t>
      </w:r>
      <w:r w:rsidRPr="00094BBC">
        <w:rPr>
          <w:rFonts w:ascii="仿宋_GB2312" w:eastAsia="仿宋_GB2312"/>
          <w:sz w:val="28"/>
          <w:szCs w:val="28"/>
        </w:rPr>
        <w:t>2016</w:t>
      </w:r>
      <w:r w:rsidRPr="00094BBC">
        <w:rPr>
          <w:rFonts w:ascii="仿宋_GB2312" w:eastAsia="仿宋_GB2312" w:hint="eastAsia"/>
          <w:sz w:val="28"/>
          <w:szCs w:val="28"/>
        </w:rPr>
        <w:t>年</w:t>
      </w:r>
      <w:r w:rsidRPr="00094BBC">
        <w:rPr>
          <w:rFonts w:ascii="仿宋_GB2312" w:eastAsia="仿宋_GB2312"/>
          <w:sz w:val="28"/>
          <w:szCs w:val="28"/>
        </w:rPr>
        <w:t>11</w:t>
      </w:r>
      <w:r w:rsidRPr="00094BBC">
        <w:rPr>
          <w:rFonts w:ascii="仿宋_GB2312" w:eastAsia="仿宋_GB2312" w:hint="eastAsia"/>
          <w:sz w:val="28"/>
          <w:szCs w:val="28"/>
        </w:rPr>
        <w:t>月底，数字媒体专业共有本科在校生</w:t>
      </w:r>
      <w:r w:rsidRPr="00094BBC">
        <w:rPr>
          <w:rFonts w:ascii="仿宋_GB2312" w:eastAsia="仿宋_GB2312"/>
          <w:sz w:val="28"/>
          <w:szCs w:val="28"/>
        </w:rPr>
        <w:t>174</w:t>
      </w:r>
      <w:r w:rsidRPr="00094BBC">
        <w:rPr>
          <w:rFonts w:ascii="仿宋_GB2312" w:eastAsia="仿宋_GB2312" w:hint="eastAsia"/>
          <w:sz w:val="28"/>
          <w:szCs w:val="28"/>
        </w:rPr>
        <w:t>人，从大一到大四的四个年级人数分别为</w:t>
      </w:r>
      <w:r w:rsidRPr="00094BBC">
        <w:rPr>
          <w:rFonts w:ascii="仿宋_GB2312" w:eastAsia="仿宋_GB2312"/>
          <w:sz w:val="28"/>
          <w:szCs w:val="28"/>
        </w:rPr>
        <w:t>4</w:t>
      </w:r>
      <w:r>
        <w:rPr>
          <w:rFonts w:ascii="仿宋_GB2312" w:eastAsia="仿宋_GB2312"/>
          <w:sz w:val="28"/>
          <w:szCs w:val="28"/>
        </w:rPr>
        <w:t>5</w:t>
      </w:r>
      <w:r w:rsidRPr="00094BBC">
        <w:rPr>
          <w:rFonts w:ascii="仿宋_GB2312" w:eastAsia="仿宋_GB2312" w:hint="eastAsia"/>
          <w:sz w:val="28"/>
          <w:szCs w:val="28"/>
        </w:rPr>
        <w:t>人、</w:t>
      </w:r>
      <w:r>
        <w:rPr>
          <w:rFonts w:ascii="仿宋_GB2312" w:eastAsia="仿宋_GB2312"/>
          <w:sz w:val="28"/>
          <w:szCs w:val="28"/>
        </w:rPr>
        <w:t>49</w:t>
      </w:r>
      <w:r w:rsidRPr="00094BBC">
        <w:rPr>
          <w:rFonts w:ascii="仿宋_GB2312" w:eastAsia="仿宋_GB2312" w:hint="eastAsia"/>
          <w:sz w:val="28"/>
          <w:szCs w:val="28"/>
        </w:rPr>
        <w:t>人、</w:t>
      </w:r>
      <w:r>
        <w:rPr>
          <w:rFonts w:ascii="仿宋_GB2312" w:eastAsia="仿宋_GB2312"/>
          <w:sz w:val="28"/>
          <w:szCs w:val="28"/>
        </w:rPr>
        <w:t>34</w:t>
      </w:r>
      <w:r w:rsidRPr="00094BBC">
        <w:rPr>
          <w:rFonts w:ascii="仿宋_GB2312" w:eastAsia="仿宋_GB2312" w:hint="eastAsia"/>
          <w:sz w:val="28"/>
          <w:szCs w:val="28"/>
        </w:rPr>
        <w:t>人、</w:t>
      </w:r>
      <w:r>
        <w:rPr>
          <w:rFonts w:ascii="仿宋_GB2312" w:eastAsia="仿宋_GB2312"/>
          <w:sz w:val="28"/>
          <w:szCs w:val="28"/>
        </w:rPr>
        <w:t>46</w:t>
      </w:r>
      <w:r w:rsidRPr="00094BBC">
        <w:rPr>
          <w:rFonts w:ascii="仿宋_GB2312" w:eastAsia="仿宋_GB2312" w:hint="eastAsia"/>
          <w:sz w:val="28"/>
          <w:szCs w:val="28"/>
        </w:rPr>
        <w:t>人。具体情况见如下表格：</w:t>
      </w:r>
    </w:p>
    <w:p w:rsidR="009C6EE0" w:rsidRPr="00094BBC" w:rsidRDefault="009C6EE0" w:rsidP="00833DC7">
      <w:pPr>
        <w:adjustRightInd w:val="0"/>
        <w:snapToGrid w:val="0"/>
        <w:spacing w:beforeLines="50" w:line="360" w:lineRule="auto"/>
        <w:ind w:firstLineChars="177" w:firstLine="31680"/>
        <w:jc w:val="center"/>
        <w:rPr>
          <w:rFonts w:ascii="宋体" w:cs="宋体"/>
          <w:b/>
          <w:kern w:val="0"/>
          <w:sz w:val="28"/>
          <w:szCs w:val="28"/>
        </w:rPr>
      </w:pPr>
      <w:r w:rsidRPr="00094BBC">
        <w:rPr>
          <w:rFonts w:ascii="宋体" w:hAnsi="宋体" w:cs="宋体" w:hint="eastAsia"/>
          <w:b/>
          <w:kern w:val="0"/>
          <w:sz w:val="28"/>
          <w:szCs w:val="28"/>
        </w:rPr>
        <w:t>数字媒体专业在校生规模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0"/>
        <w:gridCol w:w="1164"/>
        <w:gridCol w:w="1165"/>
        <w:gridCol w:w="1164"/>
        <w:gridCol w:w="1164"/>
        <w:gridCol w:w="1414"/>
        <w:gridCol w:w="1393"/>
      </w:tblGrid>
      <w:tr w:rsidR="009C6EE0" w:rsidRPr="00094BBC" w:rsidTr="00816EB4">
        <w:trPr>
          <w:jc w:val="center"/>
        </w:trPr>
        <w:tc>
          <w:tcPr>
            <w:tcW w:w="6077" w:type="dxa"/>
            <w:gridSpan w:val="5"/>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在校生数（人）</w:t>
            </w:r>
          </w:p>
        </w:tc>
        <w:tc>
          <w:tcPr>
            <w:tcW w:w="2807" w:type="dxa"/>
            <w:gridSpan w:val="2"/>
            <w:vAlign w:val="bottom"/>
          </w:tcPr>
          <w:p w:rsidR="009C6EE0" w:rsidRPr="00094BBC" w:rsidRDefault="009C6EE0" w:rsidP="00816EB4">
            <w:pPr>
              <w:adjustRightInd w:val="0"/>
              <w:snapToGrid w:val="0"/>
              <w:spacing w:line="360" w:lineRule="auto"/>
              <w:jc w:val="center"/>
              <w:rPr>
                <w:rFonts w:ascii="仿宋_GB2312" w:eastAsia="仿宋_GB2312"/>
                <w:sz w:val="24"/>
                <w:szCs w:val="24"/>
              </w:rPr>
            </w:pPr>
            <w:r w:rsidRPr="00094BBC">
              <w:rPr>
                <w:rFonts w:ascii="仿宋_GB2312" w:eastAsia="仿宋_GB2312"/>
                <w:sz w:val="24"/>
                <w:szCs w:val="24"/>
              </w:rPr>
              <w:t>2016</w:t>
            </w:r>
            <w:r w:rsidRPr="00094BBC">
              <w:rPr>
                <w:rFonts w:ascii="仿宋_GB2312" w:eastAsia="仿宋_GB2312" w:hint="eastAsia"/>
                <w:sz w:val="24"/>
                <w:szCs w:val="24"/>
              </w:rPr>
              <w:t>年转专业人数（人）</w:t>
            </w:r>
          </w:p>
        </w:tc>
      </w:tr>
      <w:tr w:rsidR="009C6EE0" w:rsidRPr="00094BBC" w:rsidTr="00816EB4">
        <w:trPr>
          <w:jc w:val="center"/>
        </w:trPr>
        <w:tc>
          <w:tcPr>
            <w:tcW w:w="1420"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总计</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一年级</w:t>
            </w:r>
          </w:p>
        </w:tc>
        <w:tc>
          <w:tcPr>
            <w:tcW w:w="1165"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二年级</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三年级</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四年级</w:t>
            </w:r>
          </w:p>
        </w:tc>
        <w:tc>
          <w:tcPr>
            <w:tcW w:w="141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转入人数</w:t>
            </w:r>
          </w:p>
        </w:tc>
        <w:tc>
          <w:tcPr>
            <w:tcW w:w="1393"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hint="eastAsia"/>
                <w:sz w:val="28"/>
                <w:szCs w:val="28"/>
              </w:rPr>
              <w:t>转出人数</w:t>
            </w:r>
          </w:p>
        </w:tc>
      </w:tr>
      <w:tr w:rsidR="009C6EE0" w:rsidRPr="00094BBC" w:rsidTr="00816EB4">
        <w:trPr>
          <w:jc w:val="center"/>
        </w:trPr>
        <w:tc>
          <w:tcPr>
            <w:tcW w:w="1420" w:type="dxa"/>
            <w:vAlign w:val="bottom"/>
          </w:tcPr>
          <w:p w:rsidR="009C6EE0" w:rsidRPr="00094BBC" w:rsidRDefault="009C6EE0" w:rsidP="00615DFA">
            <w:pPr>
              <w:adjustRightInd w:val="0"/>
              <w:snapToGrid w:val="0"/>
              <w:spacing w:line="360" w:lineRule="auto"/>
              <w:jc w:val="center"/>
              <w:rPr>
                <w:rFonts w:ascii="仿宋_GB2312" w:eastAsia="仿宋_GB2312"/>
                <w:sz w:val="28"/>
                <w:szCs w:val="28"/>
              </w:rPr>
            </w:pPr>
            <w:r w:rsidRPr="00094BBC">
              <w:rPr>
                <w:rFonts w:ascii="仿宋_GB2312" w:eastAsia="仿宋_GB2312"/>
                <w:sz w:val="28"/>
                <w:szCs w:val="28"/>
              </w:rPr>
              <w:t>174</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sz w:val="28"/>
                <w:szCs w:val="28"/>
              </w:rPr>
              <w:t>45</w:t>
            </w:r>
          </w:p>
        </w:tc>
        <w:tc>
          <w:tcPr>
            <w:tcW w:w="1165"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sz w:val="28"/>
                <w:szCs w:val="28"/>
              </w:rPr>
              <w:t>49</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sz w:val="28"/>
                <w:szCs w:val="28"/>
              </w:rPr>
              <w:t>34</w:t>
            </w:r>
          </w:p>
        </w:tc>
        <w:tc>
          <w:tcPr>
            <w:tcW w:w="116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rPr>
            </w:pPr>
            <w:r w:rsidRPr="00094BBC">
              <w:rPr>
                <w:rFonts w:ascii="仿宋_GB2312" w:eastAsia="仿宋_GB2312"/>
                <w:sz w:val="28"/>
                <w:szCs w:val="28"/>
              </w:rPr>
              <w:t>46</w:t>
            </w:r>
          </w:p>
        </w:tc>
        <w:tc>
          <w:tcPr>
            <w:tcW w:w="1414"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highlight w:val="yellow"/>
              </w:rPr>
            </w:pPr>
            <w:r w:rsidRPr="00094BBC">
              <w:rPr>
                <w:rFonts w:ascii="仿宋_GB2312" w:eastAsia="仿宋_GB2312"/>
                <w:sz w:val="28"/>
                <w:szCs w:val="28"/>
              </w:rPr>
              <w:t>0</w:t>
            </w:r>
          </w:p>
        </w:tc>
        <w:tc>
          <w:tcPr>
            <w:tcW w:w="1393" w:type="dxa"/>
            <w:vAlign w:val="bottom"/>
          </w:tcPr>
          <w:p w:rsidR="009C6EE0" w:rsidRPr="00094BBC" w:rsidRDefault="009C6EE0" w:rsidP="00816EB4">
            <w:pPr>
              <w:adjustRightInd w:val="0"/>
              <w:snapToGrid w:val="0"/>
              <w:spacing w:line="360" w:lineRule="auto"/>
              <w:jc w:val="center"/>
              <w:rPr>
                <w:rFonts w:ascii="仿宋_GB2312" w:eastAsia="仿宋_GB2312"/>
                <w:sz w:val="28"/>
                <w:szCs w:val="28"/>
                <w:highlight w:val="yellow"/>
              </w:rPr>
            </w:pPr>
            <w:r w:rsidRPr="00094BBC">
              <w:rPr>
                <w:rFonts w:ascii="仿宋_GB2312" w:eastAsia="仿宋_GB2312"/>
                <w:sz w:val="28"/>
                <w:szCs w:val="28"/>
              </w:rPr>
              <w:t>2</w:t>
            </w:r>
          </w:p>
        </w:tc>
      </w:tr>
    </w:tbl>
    <w:p w:rsidR="009C6EE0" w:rsidRPr="00094BBC" w:rsidRDefault="009C6EE0" w:rsidP="009C6EE0">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（三）课程设置情况</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1</w:t>
      </w:r>
      <w:r w:rsidRPr="00094BBC">
        <w:rPr>
          <w:rFonts w:ascii="黑体" w:eastAsia="黑体" w:hAnsi="黑体" w:cs="仿宋_GB2312" w:hint="eastAsia"/>
          <w:b/>
          <w:bCs/>
          <w:sz w:val="28"/>
          <w:szCs w:val="24"/>
        </w:rPr>
        <w:t>、培养方案学时与学分</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数字媒体专业目前的课程体系方向明确、知识点完整，分为通识教育、学科基础、专业基础、专业选修和实践环节等几大板块。课程内容向着交叉融合方向升级换代，打破传统软件工程学科方向之间的壁垒，融入管理、数学、经济、金融等学科要素和理念，增加了学生对互联网应用的模式创新和集成创新能力的培养。</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通过完整的培养方案，面向软件工程专业毕业生的未来职业规划，构建本专业全面的知识体系：</w:t>
      </w:r>
    </w:p>
    <w:p w:rsidR="009C6EE0" w:rsidRPr="00094BBC" w:rsidRDefault="009C6EE0" w:rsidP="00CF367C">
      <w:pPr>
        <w:rPr>
          <w:rFonts w:ascii="仿宋_GB2312" w:eastAsia="仿宋_GB2312"/>
          <w:sz w:val="28"/>
          <w:szCs w:val="28"/>
        </w:rPr>
      </w:pPr>
      <w:r w:rsidRPr="006C7E65">
        <w:rPr>
          <w:rFonts w:ascii="仿宋_GB2312" w:eastAsia="仿宋_GB2312"/>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83pt;height:279.75pt;visibility:visible">
            <v:imagedata r:id="rId7" o:title=""/>
          </v:shape>
        </w:pic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培养方案具体的学时学分设置如下表：</w:t>
      </w:r>
    </w:p>
    <w:p w:rsidR="009C6EE0" w:rsidRPr="00094BBC" w:rsidRDefault="009C6EE0" w:rsidP="00C806FA">
      <w:pPr>
        <w:adjustRightInd w:val="0"/>
        <w:snapToGrid w:val="0"/>
        <w:spacing w:beforeLines="50"/>
        <w:jc w:val="center"/>
        <w:rPr>
          <w:rFonts w:ascii="宋体"/>
          <w:b/>
        </w:rPr>
      </w:pPr>
      <w:r w:rsidRPr="00094BBC">
        <w:rPr>
          <w:rFonts w:ascii="宋体" w:hAnsi="宋体" w:cs="仿宋_GB2312" w:hint="eastAsia"/>
          <w:b/>
        </w:rPr>
        <w:t>培养方案学时与学分</w:t>
      </w:r>
    </w:p>
    <w:tbl>
      <w:tblPr>
        <w:tblW w:w="4761" w:type="pct"/>
        <w:tblInd w:w="-106" w:type="dxa"/>
        <w:tblLook w:val="00A0"/>
      </w:tblPr>
      <w:tblGrid>
        <w:gridCol w:w="1125"/>
        <w:gridCol w:w="845"/>
        <w:gridCol w:w="1841"/>
        <w:gridCol w:w="847"/>
        <w:gridCol w:w="991"/>
        <w:gridCol w:w="987"/>
        <w:gridCol w:w="1126"/>
        <w:gridCol w:w="866"/>
        <w:gridCol w:w="864"/>
      </w:tblGrid>
      <w:tr w:rsidR="009C6EE0" w:rsidRPr="00094BBC" w:rsidTr="00081C36">
        <w:trPr>
          <w:trHeight w:val="555"/>
        </w:trPr>
        <w:tc>
          <w:tcPr>
            <w:tcW w:w="593" w:type="pct"/>
            <w:tcBorders>
              <w:top w:val="single" w:sz="8" w:space="0" w:color="auto"/>
              <w:left w:val="single" w:sz="8" w:space="0" w:color="auto"/>
              <w:bottom w:val="single" w:sz="8" w:space="0" w:color="auto"/>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课程性质</w:t>
            </w: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9C6EE0">
            <w:pPr>
              <w:adjustRightInd w:val="0"/>
              <w:snapToGrid w:val="0"/>
              <w:spacing w:line="360" w:lineRule="auto"/>
              <w:ind w:firstLineChars="177" w:firstLine="31680"/>
              <w:rPr>
                <w:rFonts w:ascii="宋体"/>
              </w:rPr>
            </w:pPr>
            <w:r w:rsidRPr="00094BBC">
              <w:rPr>
                <w:rFonts w:ascii="宋体" w:hAnsi="宋体" w:cs="仿宋_GB2312" w:hint="eastAsia"/>
              </w:rPr>
              <w:t>课程类别</w:t>
            </w:r>
          </w:p>
        </w:tc>
        <w:tc>
          <w:tcPr>
            <w:tcW w:w="968" w:type="pct"/>
            <w:gridSpan w:val="2"/>
            <w:tcBorders>
              <w:top w:val="single" w:sz="8" w:space="0" w:color="auto"/>
              <w:left w:val="nil"/>
              <w:bottom w:val="single" w:sz="8" w:space="0" w:color="auto"/>
              <w:right w:val="single" w:sz="8" w:space="0" w:color="000000"/>
            </w:tcBorders>
            <w:vAlign w:val="center"/>
          </w:tcPr>
          <w:p w:rsidR="009C6EE0" w:rsidRPr="00094BBC" w:rsidRDefault="009C6EE0" w:rsidP="009C6EE0">
            <w:pPr>
              <w:adjustRightInd w:val="0"/>
              <w:snapToGrid w:val="0"/>
              <w:spacing w:line="360" w:lineRule="auto"/>
              <w:ind w:firstLineChars="177" w:firstLine="31680"/>
              <w:rPr>
                <w:rFonts w:ascii="宋体"/>
              </w:rPr>
            </w:pPr>
            <w:r w:rsidRPr="00094BBC">
              <w:rPr>
                <w:rFonts w:ascii="宋体" w:hAnsi="宋体" w:cs="仿宋_GB2312" w:hint="eastAsia"/>
              </w:rPr>
              <w:t>学分</w:t>
            </w:r>
          </w:p>
        </w:tc>
        <w:tc>
          <w:tcPr>
            <w:tcW w:w="1113" w:type="pct"/>
            <w:gridSpan w:val="2"/>
            <w:tcBorders>
              <w:top w:val="single" w:sz="8" w:space="0" w:color="auto"/>
              <w:left w:val="nil"/>
              <w:bottom w:val="single" w:sz="8" w:space="0" w:color="auto"/>
              <w:right w:val="single" w:sz="8" w:space="0" w:color="000000"/>
            </w:tcBorders>
            <w:vAlign w:val="center"/>
          </w:tcPr>
          <w:p w:rsidR="009C6EE0" w:rsidRPr="00094BBC" w:rsidRDefault="009C6EE0" w:rsidP="009C6EE0">
            <w:pPr>
              <w:adjustRightInd w:val="0"/>
              <w:snapToGrid w:val="0"/>
              <w:spacing w:line="360" w:lineRule="auto"/>
              <w:ind w:firstLineChars="177" w:firstLine="31680"/>
              <w:rPr>
                <w:rFonts w:ascii="宋体"/>
              </w:rPr>
            </w:pPr>
            <w:r w:rsidRPr="00094BBC">
              <w:rPr>
                <w:rFonts w:ascii="宋体" w:hAnsi="宋体" w:cs="仿宋_GB2312" w:hint="eastAsia"/>
              </w:rPr>
              <w:t>学时</w:t>
            </w:r>
          </w:p>
        </w:tc>
        <w:tc>
          <w:tcPr>
            <w:tcW w:w="911"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占总学分百分比</w:t>
            </w:r>
          </w:p>
        </w:tc>
      </w:tr>
      <w:tr w:rsidR="009C6EE0" w:rsidRPr="00094BBC" w:rsidTr="00081C36">
        <w:trPr>
          <w:trHeight w:val="480"/>
        </w:trPr>
        <w:tc>
          <w:tcPr>
            <w:tcW w:w="593"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必修课</w:t>
            </w: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通识教育必修课程</w:t>
            </w:r>
          </w:p>
        </w:tc>
        <w:tc>
          <w:tcPr>
            <w:tcW w:w="446"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118.5</w:t>
            </w: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28</w:t>
            </w:r>
          </w:p>
        </w:tc>
        <w:tc>
          <w:tcPr>
            <w:tcW w:w="520"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kern w:val="0"/>
              </w:rPr>
            </w:pPr>
            <w:r w:rsidRPr="00094BBC">
              <w:rPr>
                <w:rFonts w:ascii="宋体" w:hAnsi="宋体"/>
                <w:kern w:val="0"/>
              </w:rPr>
              <w:t>1947+</w:t>
            </w:r>
            <w:r w:rsidRPr="00094BBC">
              <w:rPr>
                <w:rFonts w:ascii="宋体" w:hAnsi="宋体"/>
                <w:kern w:val="0"/>
              </w:rPr>
              <w:br/>
              <w:t>35</w:t>
            </w:r>
            <w:r w:rsidRPr="00094BBC">
              <w:rPr>
                <w:rFonts w:ascii="宋体" w:hAnsi="宋体" w:cs="宋体" w:hint="eastAsia"/>
                <w:kern w:val="0"/>
              </w:rPr>
              <w:t>周</w:t>
            </w: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707</w:t>
            </w:r>
          </w:p>
        </w:tc>
        <w:tc>
          <w:tcPr>
            <w:tcW w:w="456"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74.06%</w:t>
            </w: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17.50%</w:t>
            </w:r>
          </w:p>
        </w:tc>
      </w:tr>
      <w:tr w:rsidR="009C6EE0" w:rsidRPr="00094BBC" w:rsidTr="00081C36">
        <w:trPr>
          <w:trHeight w:val="510"/>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学科基础平台课程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16</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256</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10.00%</w:t>
            </w:r>
          </w:p>
        </w:tc>
      </w:tr>
      <w:tr w:rsidR="009C6EE0" w:rsidRPr="00094BBC" w:rsidTr="00081C36">
        <w:trPr>
          <w:trHeight w:val="450"/>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专业基础课程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32</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632</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20.00%</w:t>
            </w:r>
          </w:p>
        </w:tc>
      </w:tr>
      <w:tr w:rsidR="009C6EE0" w:rsidRPr="00094BBC" w:rsidTr="00081C36">
        <w:trPr>
          <w:trHeight w:val="555"/>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专业必修课程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16.5</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352</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10.31%</w:t>
            </w:r>
          </w:p>
        </w:tc>
      </w:tr>
      <w:tr w:rsidR="009C6EE0" w:rsidRPr="00094BBC" w:rsidTr="00081C36">
        <w:trPr>
          <w:trHeight w:val="525"/>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445"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实践</w:t>
            </w:r>
          </w:p>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环节</w:t>
            </w:r>
          </w:p>
        </w:tc>
        <w:tc>
          <w:tcPr>
            <w:tcW w:w="970" w:type="pct"/>
            <w:tcBorders>
              <w:top w:val="nil"/>
              <w:left w:val="nil"/>
              <w:bottom w:val="single" w:sz="8" w:space="0" w:color="auto"/>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不含实验课程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26</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kern w:val="0"/>
              </w:rPr>
            </w:pPr>
            <w:r w:rsidRPr="00094BBC">
              <w:rPr>
                <w:rFonts w:ascii="宋体" w:hAnsi="宋体"/>
                <w:kern w:val="0"/>
              </w:rPr>
              <w:t>35</w:t>
            </w:r>
            <w:r w:rsidRPr="00094BBC">
              <w:rPr>
                <w:rFonts w:ascii="宋体" w:hAnsi="宋体" w:cs="宋体" w:hint="eastAsia"/>
                <w:kern w:val="0"/>
              </w:rPr>
              <w:t>周</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16.25%</w:t>
            </w:r>
          </w:p>
        </w:tc>
      </w:tr>
      <w:tr w:rsidR="009C6EE0" w:rsidRPr="00094BBC" w:rsidTr="00081C36">
        <w:trPr>
          <w:trHeight w:val="495"/>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445"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970" w:type="pct"/>
            <w:tcBorders>
              <w:top w:val="nil"/>
              <w:left w:val="nil"/>
              <w:bottom w:val="single" w:sz="8" w:space="0" w:color="auto"/>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含实验课程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41</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kern w:val="0"/>
              </w:rPr>
            </w:pPr>
            <w:r w:rsidRPr="00094BBC">
              <w:rPr>
                <w:rFonts w:ascii="宋体" w:hAnsi="宋体"/>
                <w:kern w:val="0"/>
              </w:rPr>
              <w:t>480+35</w:t>
            </w:r>
            <w:r w:rsidRPr="00094BBC">
              <w:rPr>
                <w:rFonts w:ascii="宋体" w:hAnsi="宋体" w:cs="宋体" w:hint="eastAsia"/>
                <w:kern w:val="0"/>
              </w:rPr>
              <w:t>周</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25.63%</w:t>
            </w:r>
          </w:p>
        </w:tc>
      </w:tr>
      <w:tr w:rsidR="009C6EE0" w:rsidRPr="00094BBC" w:rsidTr="00081C36">
        <w:trPr>
          <w:trHeight w:val="420"/>
        </w:trPr>
        <w:tc>
          <w:tcPr>
            <w:tcW w:w="593"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选修课</w:t>
            </w: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通识教育核心课程</w:t>
            </w:r>
          </w:p>
        </w:tc>
        <w:tc>
          <w:tcPr>
            <w:tcW w:w="446"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41.5</w:t>
            </w: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10</w:t>
            </w:r>
          </w:p>
        </w:tc>
        <w:tc>
          <w:tcPr>
            <w:tcW w:w="520"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664</w:t>
            </w: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160</w:t>
            </w:r>
          </w:p>
        </w:tc>
        <w:tc>
          <w:tcPr>
            <w:tcW w:w="456" w:type="pct"/>
            <w:vMerge w:val="restart"/>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25.94%</w:t>
            </w: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6.25%</w:t>
            </w:r>
          </w:p>
        </w:tc>
      </w:tr>
      <w:tr w:rsidR="009C6EE0" w:rsidRPr="00094BBC" w:rsidTr="00081C36">
        <w:trPr>
          <w:trHeight w:val="420"/>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通识教育选修课程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3</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48</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1.88%</w:t>
            </w:r>
          </w:p>
        </w:tc>
      </w:tr>
      <w:tr w:rsidR="009C6EE0" w:rsidRPr="00094BBC" w:rsidTr="00081C36">
        <w:trPr>
          <w:trHeight w:val="435"/>
        </w:trPr>
        <w:tc>
          <w:tcPr>
            <w:tcW w:w="593"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adjustRightInd w:val="0"/>
              <w:snapToGrid w:val="0"/>
              <w:spacing w:line="360" w:lineRule="auto"/>
              <w:rPr>
                <w:rFonts w:ascii="宋体"/>
              </w:rPr>
            </w:pPr>
          </w:p>
        </w:tc>
        <w:tc>
          <w:tcPr>
            <w:tcW w:w="1415"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专业选修课程</w:t>
            </w:r>
          </w:p>
        </w:tc>
        <w:tc>
          <w:tcPr>
            <w:tcW w:w="44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21"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28.5</w:t>
            </w:r>
          </w:p>
        </w:tc>
        <w:tc>
          <w:tcPr>
            <w:tcW w:w="520"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593"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456</w:t>
            </w:r>
          </w:p>
        </w:tc>
        <w:tc>
          <w:tcPr>
            <w:tcW w:w="456" w:type="pct"/>
            <w:vMerge/>
            <w:tcBorders>
              <w:top w:val="nil"/>
              <w:left w:val="single" w:sz="8" w:space="0" w:color="auto"/>
              <w:bottom w:val="single" w:sz="8" w:space="0" w:color="000000"/>
              <w:right w:val="single" w:sz="8" w:space="0" w:color="auto"/>
            </w:tcBorders>
            <w:vAlign w:val="center"/>
          </w:tcPr>
          <w:p w:rsidR="009C6EE0" w:rsidRPr="00094BBC" w:rsidRDefault="009C6EE0" w:rsidP="00A25DE8">
            <w:pPr>
              <w:widowControl/>
              <w:spacing w:line="360" w:lineRule="auto"/>
              <w:jc w:val="left"/>
              <w:rPr>
                <w:rFonts w:ascii="宋体"/>
                <w:kern w:val="0"/>
              </w:rPr>
            </w:pPr>
          </w:p>
        </w:tc>
        <w:tc>
          <w:tcPr>
            <w:tcW w:w="455" w:type="pct"/>
            <w:tcBorders>
              <w:top w:val="nil"/>
              <w:left w:val="nil"/>
              <w:bottom w:val="single" w:sz="8" w:space="0" w:color="auto"/>
              <w:right w:val="single" w:sz="8" w:space="0" w:color="auto"/>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17.81%</w:t>
            </w:r>
          </w:p>
        </w:tc>
      </w:tr>
      <w:tr w:rsidR="009C6EE0" w:rsidRPr="00094BBC" w:rsidTr="00081C36">
        <w:trPr>
          <w:trHeight w:val="510"/>
        </w:trPr>
        <w:tc>
          <w:tcPr>
            <w:tcW w:w="2008" w:type="pct"/>
            <w:gridSpan w:val="3"/>
            <w:tcBorders>
              <w:top w:val="single" w:sz="8" w:space="0" w:color="auto"/>
              <w:left w:val="single" w:sz="8" w:space="0" w:color="auto"/>
              <w:bottom w:val="single" w:sz="8" w:space="0" w:color="auto"/>
              <w:right w:val="single" w:sz="8" w:space="0" w:color="000000"/>
            </w:tcBorders>
            <w:vAlign w:val="center"/>
          </w:tcPr>
          <w:p w:rsidR="009C6EE0" w:rsidRPr="00094BBC" w:rsidRDefault="009C6EE0" w:rsidP="00A25DE8">
            <w:pPr>
              <w:adjustRightInd w:val="0"/>
              <w:snapToGrid w:val="0"/>
              <w:spacing w:line="360" w:lineRule="auto"/>
              <w:rPr>
                <w:rFonts w:ascii="宋体"/>
              </w:rPr>
            </w:pPr>
            <w:r w:rsidRPr="00094BBC">
              <w:rPr>
                <w:rFonts w:ascii="宋体" w:hAnsi="宋体" w:cs="仿宋_GB2312" w:hint="eastAsia"/>
              </w:rPr>
              <w:t>毕业要求总合计</w:t>
            </w:r>
          </w:p>
        </w:tc>
        <w:tc>
          <w:tcPr>
            <w:tcW w:w="968"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160</w:t>
            </w:r>
          </w:p>
        </w:tc>
        <w:tc>
          <w:tcPr>
            <w:tcW w:w="1113"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widowControl/>
              <w:spacing w:line="360" w:lineRule="auto"/>
              <w:jc w:val="center"/>
              <w:rPr>
                <w:rFonts w:ascii="宋体"/>
                <w:kern w:val="0"/>
              </w:rPr>
            </w:pPr>
            <w:r w:rsidRPr="00094BBC">
              <w:rPr>
                <w:rFonts w:ascii="宋体" w:hAnsi="宋体"/>
                <w:kern w:val="0"/>
              </w:rPr>
              <w:t>2611+35</w:t>
            </w:r>
            <w:r w:rsidRPr="00094BBC">
              <w:rPr>
                <w:rFonts w:ascii="宋体" w:hAnsi="宋体" w:cs="宋体" w:hint="eastAsia"/>
                <w:kern w:val="0"/>
              </w:rPr>
              <w:t>周</w:t>
            </w:r>
          </w:p>
        </w:tc>
        <w:tc>
          <w:tcPr>
            <w:tcW w:w="911" w:type="pct"/>
            <w:gridSpan w:val="2"/>
            <w:tcBorders>
              <w:top w:val="single" w:sz="8" w:space="0" w:color="auto"/>
              <w:left w:val="nil"/>
              <w:bottom w:val="single" w:sz="8" w:space="0" w:color="auto"/>
              <w:right w:val="single" w:sz="8" w:space="0" w:color="000000"/>
            </w:tcBorders>
            <w:vAlign w:val="center"/>
          </w:tcPr>
          <w:p w:rsidR="009C6EE0" w:rsidRPr="00094BBC" w:rsidRDefault="009C6EE0" w:rsidP="00A25DE8">
            <w:pPr>
              <w:widowControl/>
              <w:spacing w:line="360" w:lineRule="auto"/>
              <w:jc w:val="center"/>
              <w:rPr>
                <w:rFonts w:ascii="宋体" w:hAnsi="宋体"/>
                <w:kern w:val="0"/>
              </w:rPr>
            </w:pPr>
            <w:r w:rsidRPr="00094BBC">
              <w:rPr>
                <w:rFonts w:ascii="宋体" w:hAnsi="宋体"/>
                <w:kern w:val="0"/>
              </w:rPr>
              <w:t>100%</w:t>
            </w:r>
          </w:p>
        </w:tc>
      </w:tr>
    </w:tbl>
    <w:p w:rsidR="009C6EE0" w:rsidRPr="00094BBC" w:rsidRDefault="009C6EE0" w:rsidP="009C6EE0">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2.</w:t>
      </w:r>
      <w:r w:rsidRPr="00094BBC">
        <w:rPr>
          <w:rFonts w:ascii="黑体" w:eastAsia="黑体" w:hAnsi="黑体" w:cs="仿宋_GB2312" w:hint="eastAsia"/>
          <w:b/>
          <w:bCs/>
          <w:sz w:val="28"/>
          <w:szCs w:val="24"/>
        </w:rPr>
        <w:t>实验课程设置</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数字媒体专业以课程设计、项目实训等实践教学为主线，增加实践教学比例，改革实践教学成绩评定办法，突出实践实训教学成绩的权重，提高学生自学能力、项目团队协调能力、创新创业能力以及综合运用所学知识解决复杂系统问题的能力等，引进专业认证课程</w:t>
      </w:r>
      <w:r w:rsidRPr="00094BBC">
        <w:rPr>
          <w:rFonts w:ascii="仿宋_GB2312" w:eastAsia="仿宋_GB2312"/>
          <w:sz w:val="28"/>
          <w:szCs w:val="28"/>
        </w:rPr>
        <w:t>5</w:t>
      </w:r>
      <w:r w:rsidRPr="00094BBC">
        <w:rPr>
          <w:rFonts w:ascii="仿宋_GB2312" w:eastAsia="仿宋_GB2312" w:hint="eastAsia"/>
          <w:sz w:val="28"/>
          <w:szCs w:val="28"/>
        </w:rPr>
        <w:t>门，引进企业课程</w:t>
      </w:r>
      <w:r w:rsidRPr="00094BBC">
        <w:rPr>
          <w:rFonts w:ascii="仿宋_GB2312" w:eastAsia="仿宋_GB2312"/>
          <w:sz w:val="28"/>
          <w:szCs w:val="28"/>
        </w:rPr>
        <w:t>4</w:t>
      </w:r>
      <w:r w:rsidRPr="00094BBC">
        <w:rPr>
          <w:rFonts w:ascii="仿宋_GB2312" w:eastAsia="仿宋_GB2312" w:hint="eastAsia"/>
          <w:sz w:val="28"/>
          <w:szCs w:val="28"/>
        </w:rPr>
        <w:t>门。实验课程的设置情况见如下表格：</w:t>
      </w:r>
    </w:p>
    <w:p w:rsidR="009C6EE0" w:rsidRPr="00094BBC" w:rsidRDefault="009C6EE0" w:rsidP="00A25DE8">
      <w:pPr>
        <w:adjustRightInd w:val="0"/>
        <w:snapToGrid w:val="0"/>
        <w:spacing w:line="360" w:lineRule="auto"/>
        <w:jc w:val="center"/>
        <w:rPr>
          <w:rFonts w:ascii="宋体" w:cs="仿宋_GB2312"/>
          <w:b/>
          <w:bCs/>
        </w:rPr>
      </w:pPr>
      <w:r w:rsidRPr="00094BBC">
        <w:rPr>
          <w:rFonts w:ascii="宋体" w:hAnsi="宋体" w:cs="仿宋_GB2312" w:hint="eastAsia"/>
          <w:b/>
          <w:bCs/>
        </w:rPr>
        <w:t>实验课程设置情况</w:t>
      </w:r>
    </w:p>
    <w:tbl>
      <w:tblPr>
        <w:tblW w:w="9380" w:type="dxa"/>
        <w:tblInd w:w="93" w:type="dxa"/>
        <w:tblLook w:val="00A0"/>
      </w:tblPr>
      <w:tblGrid>
        <w:gridCol w:w="3300"/>
        <w:gridCol w:w="3880"/>
        <w:gridCol w:w="2200"/>
      </w:tblGrid>
      <w:tr w:rsidR="009C6EE0" w:rsidRPr="00094BBC" w:rsidTr="00B122CE">
        <w:trPr>
          <w:trHeight w:val="300"/>
        </w:trPr>
        <w:tc>
          <w:tcPr>
            <w:tcW w:w="3300" w:type="dxa"/>
            <w:tcBorders>
              <w:top w:val="single" w:sz="4" w:space="0" w:color="auto"/>
              <w:left w:val="single" w:sz="4" w:space="0" w:color="auto"/>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有实验的课程（门）</w:t>
            </w:r>
          </w:p>
        </w:tc>
        <w:tc>
          <w:tcPr>
            <w:tcW w:w="3880" w:type="dxa"/>
            <w:tcBorders>
              <w:top w:val="single" w:sz="4" w:space="0" w:color="auto"/>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综合性、设计性实验教学课程（门）</w:t>
            </w:r>
          </w:p>
        </w:tc>
        <w:tc>
          <w:tcPr>
            <w:tcW w:w="2200" w:type="dxa"/>
            <w:tcBorders>
              <w:top w:val="single" w:sz="4" w:space="0" w:color="auto"/>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实验开出率</w:t>
            </w:r>
          </w:p>
        </w:tc>
      </w:tr>
      <w:tr w:rsidR="009C6EE0" w:rsidRPr="00094BBC" w:rsidTr="00B122CE">
        <w:trPr>
          <w:trHeight w:val="300"/>
        </w:trPr>
        <w:tc>
          <w:tcPr>
            <w:tcW w:w="3300" w:type="dxa"/>
            <w:tcBorders>
              <w:top w:val="nil"/>
              <w:left w:val="single" w:sz="4" w:space="0" w:color="auto"/>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39</w:t>
            </w: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6</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9380" w:type="dxa"/>
            <w:gridSpan w:val="3"/>
            <w:tcBorders>
              <w:top w:val="single" w:sz="4" w:space="0" w:color="auto"/>
              <w:left w:val="single" w:sz="4" w:space="0" w:color="auto"/>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实验课程一览表</w:t>
            </w:r>
          </w:p>
        </w:tc>
      </w:tr>
      <w:tr w:rsidR="009C6EE0" w:rsidRPr="00094BBC" w:rsidTr="00B122CE">
        <w:trPr>
          <w:trHeight w:val="300"/>
        </w:trPr>
        <w:tc>
          <w:tcPr>
            <w:tcW w:w="3300" w:type="dxa"/>
            <w:tcBorders>
              <w:top w:val="nil"/>
              <w:left w:val="single" w:sz="4" w:space="0" w:color="auto"/>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实验类型</w:t>
            </w: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课程名称</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实验开出率</w:t>
            </w:r>
          </w:p>
        </w:tc>
      </w:tr>
      <w:tr w:rsidR="009C6EE0" w:rsidRPr="00094BBC" w:rsidTr="00B122CE">
        <w:trPr>
          <w:trHeight w:val="300"/>
        </w:trPr>
        <w:tc>
          <w:tcPr>
            <w:tcW w:w="3300" w:type="dxa"/>
            <w:vMerge w:val="restart"/>
            <w:tcBorders>
              <w:top w:val="nil"/>
              <w:left w:val="single" w:sz="4" w:space="0" w:color="auto"/>
              <w:bottom w:val="single" w:sz="4" w:space="0" w:color="000000"/>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有实验的课程</w:t>
            </w: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高级程序设计语言</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计算机组成原理</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数据结构</w:t>
            </w:r>
            <w:r w:rsidRPr="00094BBC">
              <w:rPr>
                <w:rFonts w:ascii="宋体" w:hAnsi="宋体" w:cs="宋体"/>
                <w:kern w:val="0"/>
                <w:sz w:val="20"/>
                <w:szCs w:val="20"/>
              </w:rPr>
              <w:t>I</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色彩构成</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平面构成</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操作系统</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计算机网络</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计算机图形学</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故事板创作</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机器学习</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数字图像处理</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人机交互技术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计算机游戏开发技术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游戏策划</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手机游戏程序设计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网页游戏程序设计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计算机动画技术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角色动画</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动画造型</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动画运动规律</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个体软件过程（</w:t>
            </w:r>
            <w:r w:rsidRPr="00094BBC">
              <w:rPr>
                <w:rFonts w:ascii="宋体" w:hAnsi="宋体" w:cs="宋体"/>
                <w:kern w:val="0"/>
                <w:sz w:val="20"/>
                <w:szCs w:val="20"/>
              </w:rPr>
              <w:t>PSP</w:t>
            </w:r>
            <w:r w:rsidRPr="00094BBC">
              <w:rPr>
                <w:rFonts w:ascii="宋体" w:hAnsi="宋体" w:cs="宋体" w:hint="eastAsia"/>
                <w:kern w:val="0"/>
                <w:sz w:val="20"/>
                <w:szCs w:val="20"/>
              </w:rPr>
              <w:t>）</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素描写生</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色彩写生</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C++</w:t>
            </w:r>
            <w:r w:rsidRPr="00094BBC">
              <w:rPr>
                <w:rFonts w:ascii="宋体" w:hAnsi="宋体" w:cs="宋体" w:hint="eastAsia"/>
                <w:kern w:val="0"/>
                <w:sz w:val="20"/>
                <w:szCs w:val="20"/>
              </w:rPr>
              <w:t>程序设计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数值计算</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动画渲染</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影视特效与后期合成</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多媒体技术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小组软件过程（</w:t>
            </w:r>
            <w:r w:rsidRPr="00094BBC">
              <w:rPr>
                <w:rFonts w:ascii="宋体" w:hAnsi="宋体" w:cs="宋体"/>
                <w:kern w:val="0"/>
                <w:sz w:val="20"/>
                <w:szCs w:val="20"/>
              </w:rPr>
              <w:t>TSP</w:t>
            </w:r>
            <w:r w:rsidRPr="00094BBC">
              <w:rPr>
                <w:rFonts w:ascii="宋体" w:hAnsi="宋体" w:cs="宋体" w:hint="eastAsia"/>
                <w:kern w:val="0"/>
                <w:sz w:val="20"/>
                <w:szCs w:val="20"/>
              </w:rPr>
              <w:t>）</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Web</w:t>
            </w:r>
            <w:r w:rsidRPr="00094BBC">
              <w:rPr>
                <w:rFonts w:ascii="宋体" w:hAnsi="宋体" w:cs="宋体" w:hint="eastAsia"/>
                <w:kern w:val="0"/>
                <w:sz w:val="20"/>
                <w:szCs w:val="20"/>
              </w:rPr>
              <w:t>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计算新闻学</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数据库系统</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计算广告学</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编译原理与技术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数据仓库与数据挖掘</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模式识别技术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人工智能</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社会计算</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大数据管理技术</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val="restart"/>
            <w:tcBorders>
              <w:top w:val="nil"/>
              <w:left w:val="single" w:sz="4" w:space="0" w:color="auto"/>
              <w:bottom w:val="single" w:sz="4" w:space="0" w:color="000000"/>
              <w:right w:val="single" w:sz="4" w:space="0" w:color="auto"/>
            </w:tcBorders>
            <w:noWrap/>
            <w:vAlign w:val="center"/>
          </w:tcPr>
          <w:p w:rsidR="009C6EE0" w:rsidRPr="00094BBC" w:rsidRDefault="009C6EE0" w:rsidP="00A25DE8">
            <w:pPr>
              <w:widowControl/>
              <w:spacing w:line="360" w:lineRule="auto"/>
              <w:jc w:val="center"/>
              <w:rPr>
                <w:rFonts w:ascii="宋体" w:cs="宋体"/>
                <w:b/>
                <w:bCs/>
                <w:kern w:val="0"/>
              </w:rPr>
            </w:pPr>
            <w:r w:rsidRPr="00094BBC">
              <w:rPr>
                <w:rFonts w:ascii="宋体" w:hAnsi="宋体" w:cs="宋体" w:hint="eastAsia"/>
                <w:b/>
                <w:bCs/>
                <w:kern w:val="0"/>
              </w:rPr>
              <w:t>综合性、设计性实验教学课程</w:t>
            </w: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高级程序设计语言课程设计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数据结构课程设计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计算机图形学课程设计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机器学习课程设计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人机交互课程设计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r w:rsidR="009C6EE0" w:rsidRPr="00094BBC" w:rsidTr="00B122CE">
        <w:trPr>
          <w:trHeight w:val="300"/>
        </w:trPr>
        <w:tc>
          <w:tcPr>
            <w:tcW w:w="3300" w:type="dxa"/>
            <w:vMerge/>
            <w:tcBorders>
              <w:top w:val="nil"/>
              <w:left w:val="single" w:sz="4" w:space="0" w:color="auto"/>
              <w:bottom w:val="single" w:sz="4" w:space="0" w:color="000000"/>
              <w:right w:val="single" w:sz="4" w:space="0" w:color="auto"/>
            </w:tcBorders>
            <w:vAlign w:val="center"/>
          </w:tcPr>
          <w:p w:rsidR="009C6EE0" w:rsidRPr="00094BBC" w:rsidRDefault="009C6EE0" w:rsidP="00A25DE8">
            <w:pPr>
              <w:widowControl/>
              <w:spacing w:line="360" w:lineRule="auto"/>
              <w:jc w:val="left"/>
              <w:rPr>
                <w:rFonts w:ascii="宋体" w:cs="宋体"/>
                <w:b/>
                <w:bCs/>
                <w:kern w:val="0"/>
                <w:sz w:val="20"/>
                <w:szCs w:val="20"/>
              </w:rPr>
            </w:pPr>
          </w:p>
        </w:tc>
        <w:tc>
          <w:tcPr>
            <w:tcW w:w="388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hint="eastAsia"/>
                <w:kern w:val="0"/>
                <w:sz w:val="20"/>
                <w:szCs w:val="20"/>
              </w:rPr>
              <w:t>创新设计</w:t>
            </w:r>
          </w:p>
        </w:tc>
        <w:tc>
          <w:tcPr>
            <w:tcW w:w="220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cs="宋体"/>
                <w:kern w:val="0"/>
                <w:sz w:val="20"/>
                <w:szCs w:val="20"/>
              </w:rPr>
            </w:pPr>
            <w:r w:rsidRPr="00094BBC">
              <w:rPr>
                <w:rFonts w:ascii="宋体" w:hAnsi="宋体" w:cs="宋体"/>
                <w:kern w:val="0"/>
                <w:sz w:val="20"/>
                <w:szCs w:val="20"/>
              </w:rPr>
              <w:t>100%</w:t>
            </w:r>
          </w:p>
        </w:tc>
      </w:tr>
    </w:tbl>
    <w:p w:rsidR="009C6EE0" w:rsidRPr="00094BBC" w:rsidRDefault="009C6EE0" w:rsidP="009C6EE0">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3</w:t>
      </w:r>
      <w:r w:rsidRPr="00094BBC">
        <w:rPr>
          <w:rFonts w:ascii="黑体" w:eastAsia="黑体" w:hAnsi="黑体" w:cs="仿宋_GB2312" w:hint="eastAsia"/>
          <w:b/>
          <w:bCs/>
          <w:sz w:val="28"/>
          <w:szCs w:val="24"/>
        </w:rPr>
        <w:t>、精品课程、精品视频公开课、精品资源共享课、双语课程、慕课等课程建设情况</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软件学院倡导全面开放共享知识的理念，积极申报精品课程、双语示范课程，建成</w:t>
      </w:r>
      <w:r w:rsidRPr="00094BBC">
        <w:rPr>
          <w:rFonts w:ascii="仿宋_GB2312" w:eastAsia="仿宋_GB2312"/>
          <w:sz w:val="28"/>
          <w:szCs w:val="28"/>
        </w:rPr>
        <w:t>112</w:t>
      </w:r>
      <w:r w:rsidRPr="00094BBC">
        <w:rPr>
          <w:rFonts w:ascii="仿宋_GB2312" w:eastAsia="仿宋_GB2312" w:hint="eastAsia"/>
          <w:sz w:val="28"/>
          <w:szCs w:val="28"/>
        </w:rPr>
        <w:t>门课程网站，覆盖课程</w:t>
      </w:r>
      <w:r w:rsidRPr="00094BBC">
        <w:rPr>
          <w:rFonts w:ascii="仿宋_GB2312" w:eastAsia="仿宋_GB2312"/>
          <w:sz w:val="28"/>
          <w:szCs w:val="28"/>
        </w:rPr>
        <w:t>73</w:t>
      </w:r>
      <w:r w:rsidRPr="00094BBC">
        <w:rPr>
          <w:rFonts w:ascii="仿宋_GB2312" w:eastAsia="仿宋_GB2312" w:hint="eastAsia"/>
          <w:sz w:val="28"/>
          <w:szCs w:val="28"/>
        </w:rPr>
        <w:t>门。所有精品课程、精品资源免费向所有师生开放共享，使学生足不出户就可以享受高质量的教育。</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郝兴伟教授的《大学计算机基础》获评国家级精品课程，石冰教授主持申报的《数据库系统》被评为山东省精品课程，崔立真教授主持申报的《软件项目管理》、李学庆教授主持申报的《</w:t>
      </w:r>
      <w:r w:rsidRPr="00094BBC">
        <w:rPr>
          <w:rFonts w:ascii="仿宋_GB2312" w:eastAsia="仿宋_GB2312"/>
          <w:sz w:val="28"/>
          <w:szCs w:val="28"/>
        </w:rPr>
        <w:t>J2EE</w:t>
      </w:r>
      <w:r w:rsidRPr="00094BBC">
        <w:rPr>
          <w:rFonts w:ascii="仿宋_GB2312" w:eastAsia="仿宋_GB2312" w:hint="eastAsia"/>
          <w:sz w:val="28"/>
          <w:szCs w:val="28"/>
        </w:rPr>
        <w:t>应用开发基础》、刘士军教授主持申报的《面向服务的应用整合实践》入选</w:t>
      </w:r>
      <w:r w:rsidRPr="00094BBC">
        <w:rPr>
          <w:rFonts w:ascii="仿宋_GB2312" w:eastAsia="仿宋_GB2312"/>
          <w:sz w:val="28"/>
          <w:szCs w:val="28"/>
        </w:rPr>
        <w:t xml:space="preserve"> </w:t>
      </w:r>
      <w:r w:rsidRPr="00094BBC">
        <w:rPr>
          <w:rFonts w:ascii="仿宋_GB2312" w:eastAsia="仿宋_GB2312" w:hint="eastAsia"/>
          <w:sz w:val="28"/>
          <w:szCs w:val="28"/>
        </w:rPr>
        <w:t>“教育部</w:t>
      </w:r>
      <w:r w:rsidRPr="00094BBC">
        <w:rPr>
          <w:rFonts w:ascii="仿宋_GB2312" w:eastAsia="仿宋_GB2312"/>
          <w:sz w:val="28"/>
          <w:szCs w:val="28"/>
        </w:rPr>
        <w:t>-IBM</w:t>
      </w:r>
      <w:r w:rsidRPr="00094BBC">
        <w:rPr>
          <w:rFonts w:ascii="仿宋_GB2312" w:eastAsia="仿宋_GB2312" w:hint="eastAsia"/>
          <w:sz w:val="28"/>
          <w:szCs w:val="28"/>
        </w:rPr>
        <w:t>精品课程”建设项目。《高级程序设计语言》、《软件工程》两门课程网站的点击量大，获我校课程中心优秀课程网站，其中，《高级程序设计语言》的师生访问率排全校前三名。学院共出版、再版教材</w:t>
      </w:r>
      <w:r w:rsidRPr="00094BBC">
        <w:rPr>
          <w:rFonts w:ascii="仿宋_GB2312" w:eastAsia="仿宋_GB2312"/>
          <w:sz w:val="28"/>
          <w:szCs w:val="28"/>
        </w:rPr>
        <w:t>6</w:t>
      </w:r>
      <w:r w:rsidRPr="00094BBC">
        <w:rPr>
          <w:rFonts w:ascii="仿宋_GB2312" w:eastAsia="仿宋_GB2312" w:hint="eastAsia"/>
          <w:sz w:val="28"/>
          <w:szCs w:val="28"/>
        </w:rPr>
        <w:t>部，获得国家</w:t>
      </w:r>
      <w:r w:rsidRPr="00094BBC">
        <w:rPr>
          <w:rFonts w:ascii="仿宋_GB2312" w:eastAsia="仿宋_GB2312"/>
          <w:sz w:val="28"/>
          <w:szCs w:val="28"/>
        </w:rPr>
        <w:t>“</w:t>
      </w:r>
      <w:r w:rsidRPr="00094BBC">
        <w:rPr>
          <w:rFonts w:ascii="仿宋_GB2312" w:eastAsia="仿宋_GB2312" w:hint="eastAsia"/>
          <w:sz w:val="28"/>
          <w:szCs w:val="28"/>
        </w:rPr>
        <w:t>十一五规划教材</w:t>
      </w:r>
      <w:r w:rsidRPr="00094BBC">
        <w:rPr>
          <w:rFonts w:ascii="仿宋_GB2312" w:eastAsia="仿宋_GB2312"/>
          <w:sz w:val="28"/>
          <w:szCs w:val="28"/>
        </w:rPr>
        <w:t>”</w:t>
      </w:r>
      <w:r w:rsidRPr="00094BBC">
        <w:rPr>
          <w:rFonts w:ascii="仿宋_GB2312" w:eastAsia="仿宋_GB2312" w:hint="eastAsia"/>
          <w:sz w:val="28"/>
          <w:szCs w:val="28"/>
        </w:rPr>
        <w:t>建设立项</w:t>
      </w:r>
      <w:r w:rsidRPr="00094BBC">
        <w:rPr>
          <w:rFonts w:ascii="仿宋_GB2312" w:eastAsia="仿宋_GB2312"/>
          <w:sz w:val="28"/>
          <w:szCs w:val="28"/>
        </w:rPr>
        <w:t>6</w:t>
      </w:r>
      <w:r w:rsidRPr="00094BBC">
        <w:rPr>
          <w:rFonts w:ascii="仿宋_GB2312" w:eastAsia="仿宋_GB2312" w:hint="eastAsia"/>
          <w:sz w:val="28"/>
          <w:szCs w:val="28"/>
        </w:rPr>
        <w:t>项，国家</w:t>
      </w:r>
      <w:r w:rsidRPr="00094BBC">
        <w:rPr>
          <w:rFonts w:ascii="仿宋_GB2312" w:eastAsia="仿宋_GB2312"/>
          <w:sz w:val="28"/>
          <w:szCs w:val="28"/>
        </w:rPr>
        <w:t>“</w:t>
      </w:r>
      <w:r w:rsidRPr="00094BBC">
        <w:rPr>
          <w:rFonts w:ascii="仿宋_GB2312" w:eastAsia="仿宋_GB2312" w:hint="eastAsia"/>
          <w:sz w:val="28"/>
          <w:szCs w:val="28"/>
        </w:rPr>
        <w:t>十二五规划教材</w:t>
      </w:r>
      <w:r w:rsidRPr="00094BBC">
        <w:rPr>
          <w:rFonts w:ascii="仿宋_GB2312" w:eastAsia="仿宋_GB2312"/>
          <w:sz w:val="28"/>
          <w:szCs w:val="28"/>
        </w:rPr>
        <w:t>”</w:t>
      </w:r>
      <w:r w:rsidRPr="00094BBC">
        <w:rPr>
          <w:rFonts w:ascii="仿宋_GB2312" w:eastAsia="仿宋_GB2312" w:hint="eastAsia"/>
          <w:sz w:val="28"/>
          <w:szCs w:val="28"/>
        </w:rPr>
        <w:t>建设立项</w:t>
      </w:r>
      <w:r w:rsidRPr="00094BBC">
        <w:rPr>
          <w:rFonts w:ascii="仿宋_GB2312" w:eastAsia="仿宋_GB2312"/>
          <w:sz w:val="28"/>
          <w:szCs w:val="28"/>
        </w:rPr>
        <w:t>1</w:t>
      </w:r>
      <w:r w:rsidRPr="00094BBC">
        <w:rPr>
          <w:rFonts w:ascii="仿宋_GB2312" w:eastAsia="仿宋_GB2312" w:hint="eastAsia"/>
          <w:sz w:val="28"/>
          <w:szCs w:val="28"/>
        </w:rPr>
        <w:t>项，有</w:t>
      </w:r>
      <w:r w:rsidRPr="00094BBC">
        <w:rPr>
          <w:rFonts w:ascii="仿宋_GB2312" w:eastAsia="仿宋_GB2312"/>
          <w:sz w:val="28"/>
          <w:szCs w:val="28"/>
        </w:rPr>
        <w:t>1</w:t>
      </w:r>
      <w:r w:rsidRPr="00094BBC">
        <w:rPr>
          <w:rFonts w:ascii="仿宋_GB2312" w:eastAsia="仿宋_GB2312" w:hint="eastAsia"/>
          <w:sz w:val="28"/>
          <w:szCs w:val="28"/>
        </w:rPr>
        <w:t>部教材被评为教育部国家级精品教材。</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面向数字媒体的国际化特点，学院引进国外优秀英文原版教材，</w:t>
      </w:r>
      <w:r w:rsidRPr="00094BBC">
        <w:rPr>
          <w:rFonts w:ascii="仿宋_GB2312" w:eastAsia="仿宋_GB2312"/>
          <w:sz w:val="28"/>
          <w:szCs w:val="28"/>
        </w:rPr>
        <w:t>50%</w:t>
      </w:r>
      <w:r w:rsidRPr="00094BBC">
        <w:rPr>
          <w:rFonts w:ascii="仿宋_GB2312" w:eastAsia="仿宋_GB2312" w:hint="eastAsia"/>
          <w:sz w:val="28"/>
          <w:szCs w:val="28"/>
        </w:rPr>
        <w:t>以上的课程实施双语授课和英文授课，为高端软件人才与国际接轨奠定基础。其中，数字媒体专业的双语课程有高级程序设计语言、离散数学、数据结构、操作系统、计算机网络、计算机图形学、机器学习、数字图像处理、数值计算、多媒体技术、算法设计与分析、数据库系统、编译原理与技术、数据仓库与数据挖掘，课程资源丰富。</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郝兴伟教授主持的《大学计算机</w:t>
      </w:r>
      <w:r w:rsidRPr="00094BBC">
        <w:rPr>
          <w:rFonts w:ascii="仿宋_GB2312" w:eastAsia="仿宋_GB2312"/>
          <w:sz w:val="28"/>
          <w:szCs w:val="28"/>
        </w:rPr>
        <w:t>-</w:t>
      </w:r>
      <w:r w:rsidRPr="00094BBC">
        <w:rPr>
          <w:rFonts w:ascii="仿宋_GB2312" w:eastAsia="仿宋_GB2312" w:hint="eastAsia"/>
          <w:sz w:val="28"/>
          <w:szCs w:val="28"/>
        </w:rPr>
        <w:t>计算思维的视角》是我校第一批慕课（</w:t>
      </w:r>
      <w:r w:rsidRPr="00094BBC">
        <w:rPr>
          <w:rFonts w:ascii="仿宋_GB2312" w:eastAsia="仿宋_GB2312"/>
          <w:sz w:val="28"/>
          <w:szCs w:val="28"/>
        </w:rPr>
        <w:t>MOOCs</w:t>
      </w:r>
      <w:r w:rsidRPr="00094BBC">
        <w:rPr>
          <w:rFonts w:ascii="仿宋_GB2312" w:eastAsia="仿宋_GB2312" w:hint="eastAsia"/>
          <w:sz w:val="28"/>
          <w:szCs w:val="28"/>
        </w:rPr>
        <w:t>）课程改革立项项目，获得重点建设，通过在线平台面向全校和社会公众免费开放。学院的其他</w:t>
      </w:r>
      <w:r w:rsidRPr="00094BBC">
        <w:rPr>
          <w:rFonts w:ascii="仿宋_GB2312" w:eastAsia="仿宋_GB2312"/>
          <w:sz w:val="28"/>
          <w:szCs w:val="28"/>
        </w:rPr>
        <w:t>MOOC</w:t>
      </w:r>
      <w:r w:rsidRPr="00094BBC">
        <w:rPr>
          <w:rFonts w:ascii="仿宋_GB2312" w:eastAsia="仿宋_GB2312" w:hint="eastAsia"/>
          <w:sz w:val="28"/>
          <w:szCs w:val="28"/>
        </w:rPr>
        <w:t>共享课程、翻转课堂的设计建设正在进行中，课程结构将更加优化。</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（四）创新创业教育情况</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学生创新能力的培养是近几年各高校制定具体人才培养目标的一个重要方面，软件学院根据学校工作部署、结合自身专业和就业特色，在不同层面进行着不断的尝试和探索，推进青年学生创新创业。</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从课程体系上，学院借助高新区软件园的优势，积极引入周边企业资源支持，丰富和创新相关创业课程的内容，开展创业讲堂、报告会等教学活动。</w:t>
      </w:r>
    </w:p>
    <w:p w:rsidR="009C6EE0" w:rsidRPr="00094BBC" w:rsidRDefault="009C6EE0" w:rsidP="00833DC7">
      <w:pPr>
        <w:widowControl/>
        <w:spacing w:line="360" w:lineRule="auto"/>
        <w:ind w:firstLineChars="200" w:firstLine="31680"/>
        <w:jc w:val="left"/>
        <w:rPr>
          <w:rFonts w:ascii="仿宋_GB2312" w:eastAsia="仿宋_GB2312"/>
          <w:sz w:val="28"/>
          <w:szCs w:val="28"/>
        </w:rPr>
      </w:pPr>
      <w:r w:rsidRPr="00094BBC">
        <w:rPr>
          <w:rFonts w:ascii="仿宋_GB2312" w:eastAsia="仿宋_GB2312" w:hint="eastAsia"/>
          <w:sz w:val="28"/>
          <w:szCs w:val="28"/>
        </w:rPr>
        <w:t>从硬件资源上，营造创新创业环境，搭建“一园、一平台、一空间”。以所在软件园校区为依托，充分利用中小型企业密集、创新创业资源丰富的优势，搭建山东大学“创业孵化服务园”；成立了学校首个大学生创业实践中心，以大学生创新实验室、</w:t>
      </w:r>
      <w:r w:rsidRPr="00094BBC">
        <w:rPr>
          <w:rFonts w:ascii="仿宋_GB2312" w:eastAsia="仿宋_GB2312"/>
          <w:sz w:val="28"/>
          <w:szCs w:val="28"/>
        </w:rPr>
        <w:t>ACM</w:t>
      </w:r>
      <w:r w:rsidRPr="00094BBC">
        <w:rPr>
          <w:rFonts w:ascii="仿宋_GB2312" w:eastAsia="仿宋_GB2312" w:hint="eastAsia"/>
          <w:sz w:val="28"/>
          <w:szCs w:val="28"/>
        </w:rPr>
        <w:t>实验室、嵌入式技术实验室等为支撑，搭建“创新创业教育训练平台”；打造山东大学西格玛众创空间，面向全校学生、校友和教师，提供包括创新项目孵化、项目扶持与指导、政策咨询、创业培训与指导、创业资源对接等服务。</w:t>
      </w:r>
    </w:p>
    <w:p w:rsidR="009C6EE0" w:rsidRPr="00094BBC" w:rsidRDefault="009C6EE0" w:rsidP="00833DC7">
      <w:pPr>
        <w:widowControl/>
        <w:spacing w:line="360" w:lineRule="auto"/>
        <w:ind w:firstLineChars="200" w:firstLine="31680"/>
        <w:jc w:val="left"/>
        <w:rPr>
          <w:rFonts w:ascii="仿宋_GB2312" w:eastAsia="仿宋_GB2312"/>
          <w:sz w:val="28"/>
          <w:szCs w:val="28"/>
        </w:rPr>
      </w:pPr>
      <w:r w:rsidRPr="00094BBC">
        <w:rPr>
          <w:rFonts w:ascii="仿宋_GB2312" w:eastAsia="仿宋_GB2312" w:hint="eastAsia"/>
          <w:sz w:val="28"/>
          <w:szCs w:val="28"/>
        </w:rPr>
        <w:t>从制度保障上，构建有效的运转机制为学生创新创业保驾护航。引入创业导师、管理和咨询团队、金融风险等外部资源，为学生创业和项目孵化提供专业化服务，最终实现学生创新创业的自我造血、健康和可持续发展。</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通过创新创业教育，学院涌现出一批创新思维活跃，动手实践能力较强的学生群体。几年来，出自专项实验室的创新项目已超过</w:t>
      </w:r>
      <w:r w:rsidRPr="00094BBC">
        <w:rPr>
          <w:rFonts w:ascii="仿宋_GB2312" w:eastAsia="仿宋_GB2312"/>
          <w:sz w:val="28"/>
          <w:szCs w:val="28"/>
        </w:rPr>
        <w:t>200</w:t>
      </w:r>
      <w:r w:rsidRPr="00094BBC">
        <w:rPr>
          <w:rFonts w:ascii="仿宋_GB2312" w:eastAsia="仿宋_GB2312" w:hint="eastAsia"/>
          <w:sz w:val="28"/>
          <w:szCs w:val="28"/>
        </w:rPr>
        <w:t>余项，其中有多个项目已被外部企业单位直接作为产品进行开发和推广，在校成功创业孵化公司已超过</w:t>
      </w:r>
      <w:r w:rsidRPr="00094BBC">
        <w:rPr>
          <w:rFonts w:ascii="仿宋_GB2312" w:eastAsia="仿宋_GB2312"/>
          <w:sz w:val="28"/>
          <w:szCs w:val="28"/>
        </w:rPr>
        <w:t>10</w:t>
      </w:r>
      <w:r w:rsidRPr="00094BBC">
        <w:rPr>
          <w:rFonts w:ascii="仿宋_GB2312" w:eastAsia="仿宋_GB2312" w:hint="eastAsia"/>
          <w:sz w:val="28"/>
          <w:szCs w:val="28"/>
        </w:rPr>
        <w:t>余家。</w:t>
      </w:r>
      <w:r w:rsidRPr="00094BBC">
        <w:rPr>
          <w:rFonts w:ascii="仿宋_GB2312" w:eastAsia="仿宋_GB2312"/>
          <w:sz w:val="28"/>
          <w:szCs w:val="28"/>
        </w:rPr>
        <w:t>2013</w:t>
      </w:r>
      <w:r w:rsidRPr="00094BBC">
        <w:rPr>
          <w:rFonts w:ascii="仿宋_GB2312" w:eastAsia="仿宋_GB2312" w:hint="eastAsia"/>
          <w:sz w:val="28"/>
          <w:szCs w:val="28"/>
        </w:rPr>
        <w:t>年，软件学院</w:t>
      </w:r>
      <w:r w:rsidRPr="00094BBC">
        <w:rPr>
          <w:rFonts w:ascii="仿宋_GB2312" w:eastAsia="仿宋_GB2312"/>
          <w:sz w:val="28"/>
          <w:szCs w:val="28"/>
        </w:rPr>
        <w:t>11</w:t>
      </w:r>
      <w:r w:rsidRPr="00094BBC">
        <w:rPr>
          <w:rFonts w:ascii="仿宋_GB2312" w:eastAsia="仿宋_GB2312" w:hint="eastAsia"/>
          <w:sz w:val="28"/>
          <w:szCs w:val="28"/>
        </w:rPr>
        <w:t>级学生葛彤等同学开发的“</w:t>
      </w:r>
      <w:r w:rsidRPr="00094BBC">
        <w:rPr>
          <w:rFonts w:ascii="仿宋_GB2312" w:eastAsia="仿宋_GB2312"/>
          <w:sz w:val="28"/>
          <w:szCs w:val="28"/>
        </w:rPr>
        <w:t>Iface</w:t>
      </w:r>
      <w:r w:rsidRPr="00094BBC">
        <w:rPr>
          <w:rFonts w:ascii="仿宋_GB2312" w:eastAsia="仿宋_GB2312" w:hint="eastAsia"/>
          <w:sz w:val="28"/>
          <w:szCs w:val="28"/>
        </w:rPr>
        <w:t>”项目，获得第六届全国大学生软件创新大赛一等奖。</w:t>
      </w:r>
      <w:r w:rsidRPr="00094BBC">
        <w:rPr>
          <w:rFonts w:ascii="仿宋_GB2312" w:eastAsia="仿宋_GB2312"/>
          <w:sz w:val="28"/>
          <w:szCs w:val="28"/>
        </w:rPr>
        <w:t>2014</w:t>
      </w:r>
      <w:r w:rsidRPr="00094BBC">
        <w:rPr>
          <w:rFonts w:ascii="仿宋_GB2312" w:eastAsia="仿宋_GB2312" w:hint="eastAsia"/>
          <w:sz w:val="28"/>
          <w:szCs w:val="28"/>
        </w:rPr>
        <w:t>年，软件学院</w:t>
      </w:r>
      <w:r w:rsidRPr="00094BBC">
        <w:rPr>
          <w:rFonts w:ascii="仿宋_GB2312" w:eastAsia="仿宋_GB2312"/>
          <w:sz w:val="28"/>
          <w:szCs w:val="28"/>
        </w:rPr>
        <w:t>2011</w:t>
      </w:r>
      <w:r w:rsidRPr="00094BBC">
        <w:rPr>
          <w:rFonts w:ascii="仿宋_GB2312" w:eastAsia="仿宋_GB2312" w:hint="eastAsia"/>
          <w:sz w:val="28"/>
          <w:szCs w:val="28"/>
        </w:rPr>
        <w:t>级学生张鹏获得全国第五届大学生服务外包创新创业大赛实践组一等奖，</w:t>
      </w:r>
      <w:r w:rsidRPr="00094BBC">
        <w:rPr>
          <w:rFonts w:ascii="仿宋_GB2312" w:eastAsia="仿宋_GB2312"/>
          <w:sz w:val="28"/>
          <w:szCs w:val="28"/>
        </w:rPr>
        <w:t>2015</w:t>
      </w:r>
      <w:r w:rsidRPr="00094BBC">
        <w:rPr>
          <w:rFonts w:ascii="仿宋_GB2312" w:eastAsia="仿宋_GB2312" w:hint="eastAsia"/>
          <w:sz w:val="28"/>
          <w:szCs w:val="28"/>
        </w:rPr>
        <w:t>年初张鹏创立的“叶子公司”获得</w:t>
      </w:r>
      <w:r w:rsidRPr="00094BBC">
        <w:rPr>
          <w:rFonts w:ascii="仿宋_GB2312" w:eastAsia="仿宋_GB2312"/>
          <w:sz w:val="28"/>
          <w:szCs w:val="28"/>
        </w:rPr>
        <w:t>5</w:t>
      </w:r>
      <w:r w:rsidRPr="00094BBC">
        <w:rPr>
          <w:rFonts w:ascii="仿宋_GB2312" w:eastAsia="仿宋_GB2312" w:hint="eastAsia"/>
          <w:sz w:val="28"/>
          <w:szCs w:val="28"/>
        </w:rPr>
        <w:t>千万元风险投资。</w:t>
      </w:r>
      <w:r w:rsidRPr="00094BBC">
        <w:rPr>
          <w:rFonts w:ascii="仿宋_GB2312" w:eastAsia="仿宋_GB2312"/>
          <w:sz w:val="28"/>
          <w:szCs w:val="28"/>
        </w:rPr>
        <w:t>2015</w:t>
      </w:r>
      <w:r w:rsidRPr="00094BBC">
        <w:rPr>
          <w:rFonts w:ascii="仿宋_GB2312" w:eastAsia="仿宋_GB2312" w:hint="eastAsia"/>
          <w:sz w:val="28"/>
          <w:szCs w:val="28"/>
        </w:rPr>
        <w:t>年</w:t>
      </w:r>
      <w:r w:rsidRPr="00094BBC">
        <w:rPr>
          <w:rFonts w:ascii="仿宋_GB2312" w:eastAsia="仿宋_GB2312"/>
          <w:sz w:val="28"/>
          <w:szCs w:val="28"/>
        </w:rPr>
        <w:t>8</w:t>
      </w:r>
      <w:r w:rsidRPr="00094BBC">
        <w:rPr>
          <w:rFonts w:ascii="仿宋_GB2312" w:eastAsia="仿宋_GB2312" w:hint="eastAsia"/>
          <w:sz w:val="28"/>
          <w:szCs w:val="28"/>
        </w:rPr>
        <w:t>月，软件学院</w:t>
      </w:r>
      <w:r w:rsidRPr="00094BBC">
        <w:rPr>
          <w:rFonts w:ascii="仿宋_GB2312" w:eastAsia="仿宋_GB2312"/>
          <w:sz w:val="28"/>
          <w:szCs w:val="28"/>
        </w:rPr>
        <w:t>2013</w:t>
      </w:r>
      <w:r w:rsidRPr="00094BBC">
        <w:rPr>
          <w:rFonts w:ascii="仿宋_GB2312" w:eastAsia="仿宋_GB2312" w:hint="eastAsia"/>
          <w:sz w:val="28"/>
          <w:szCs w:val="28"/>
        </w:rPr>
        <w:t>级本科生李昱辰团队的“路上”项目获得全国第六届大学生服务外包创新创业大赛实践组二等奖。</w:t>
      </w:r>
      <w:r w:rsidRPr="00094BBC">
        <w:rPr>
          <w:rFonts w:ascii="仿宋_GB2312" w:eastAsia="仿宋_GB2312"/>
          <w:sz w:val="28"/>
          <w:szCs w:val="28"/>
        </w:rPr>
        <w:t>2016</w:t>
      </w:r>
      <w:r w:rsidRPr="00094BBC">
        <w:rPr>
          <w:rFonts w:ascii="仿宋_GB2312" w:eastAsia="仿宋_GB2312" w:hint="eastAsia"/>
          <w:sz w:val="28"/>
          <w:szCs w:val="28"/>
        </w:rPr>
        <w:t>年软件学院李泽宇、白岩松等</w:t>
      </w:r>
      <w:r w:rsidRPr="00094BBC">
        <w:rPr>
          <w:rFonts w:ascii="仿宋_GB2312" w:eastAsia="仿宋_GB2312"/>
          <w:sz w:val="28"/>
          <w:szCs w:val="28"/>
        </w:rPr>
        <w:t>6</w:t>
      </w:r>
      <w:r w:rsidRPr="00094BBC">
        <w:rPr>
          <w:rFonts w:ascii="仿宋_GB2312" w:eastAsia="仿宋_GB2312" w:hint="eastAsia"/>
          <w:sz w:val="28"/>
          <w:szCs w:val="28"/>
        </w:rPr>
        <w:t>位同学获数学建模全国一等奖，万大千、何静莲等</w:t>
      </w:r>
      <w:r w:rsidRPr="00094BBC">
        <w:rPr>
          <w:rFonts w:ascii="仿宋_GB2312" w:eastAsia="仿宋_GB2312"/>
          <w:sz w:val="28"/>
          <w:szCs w:val="28"/>
        </w:rPr>
        <w:t>6</w:t>
      </w:r>
      <w:r w:rsidRPr="00094BBC">
        <w:rPr>
          <w:rFonts w:ascii="仿宋_GB2312" w:eastAsia="仿宋_GB2312" w:hint="eastAsia"/>
          <w:sz w:val="28"/>
          <w:szCs w:val="28"/>
        </w:rPr>
        <w:t>位同学获数学建模全国二等奖。</w:t>
      </w:r>
    </w:p>
    <w:p w:rsidR="009C6EE0" w:rsidRPr="00094BBC" w:rsidRDefault="009C6EE0" w:rsidP="00833DC7">
      <w:pPr>
        <w:spacing w:line="360" w:lineRule="auto"/>
        <w:ind w:firstLineChars="200" w:firstLine="31680"/>
        <w:rPr>
          <w:rFonts w:ascii="宋体"/>
          <w:noProof/>
          <w:sz w:val="24"/>
          <w:szCs w:val="24"/>
        </w:rPr>
      </w:pPr>
      <w:r w:rsidRPr="006C7E65">
        <w:rPr>
          <w:rFonts w:ascii="宋体"/>
          <w:noProof/>
          <w:sz w:val="24"/>
          <w:szCs w:val="24"/>
        </w:rPr>
        <w:pict>
          <v:shape id="_x0000_i1026" type="#_x0000_t75" alt="QQ图片20151027203321" style="width:225.75pt;height:152.25pt;visibility:visible">
            <v:imagedata r:id="rId8" o:title=""/>
          </v:shape>
        </w:pict>
      </w:r>
      <w:r w:rsidRPr="006C7E65">
        <w:rPr>
          <w:rFonts w:ascii="宋体"/>
          <w:noProof/>
          <w:sz w:val="24"/>
          <w:szCs w:val="24"/>
        </w:rPr>
        <w:pict>
          <v:shape id="图片 2" o:spid="_x0000_i1027" type="#_x0000_t75" alt="项目小组讨论中" style="width:217.5pt;height:153pt;visibility:visible">
            <v:imagedata r:id="rId9" o:title=""/>
          </v:shape>
        </w:pict>
      </w:r>
    </w:p>
    <w:p w:rsidR="009C6EE0" w:rsidRPr="00094BBC" w:rsidRDefault="009C6EE0" w:rsidP="00833DC7">
      <w:pPr>
        <w:spacing w:line="360" w:lineRule="auto"/>
        <w:ind w:firstLineChars="200" w:firstLine="31680"/>
        <w:jc w:val="center"/>
        <w:rPr>
          <w:rFonts w:ascii="宋体"/>
          <w:sz w:val="24"/>
          <w:szCs w:val="24"/>
        </w:rPr>
      </w:pPr>
      <w:r w:rsidRPr="00094BBC">
        <w:rPr>
          <w:rFonts w:ascii="宋体" w:hAnsi="宋体" w:hint="eastAsia"/>
          <w:sz w:val="24"/>
          <w:szCs w:val="24"/>
        </w:rPr>
        <w:t>创新实验室场景</w:t>
      </w:r>
    </w:p>
    <w:p w:rsidR="009C6EE0" w:rsidRPr="00094BBC" w:rsidRDefault="009C6EE0" w:rsidP="00833DC7">
      <w:pPr>
        <w:spacing w:line="360" w:lineRule="auto"/>
        <w:ind w:firstLineChars="200" w:firstLine="31680"/>
        <w:rPr>
          <w:rFonts w:ascii="宋体"/>
          <w:sz w:val="24"/>
          <w:szCs w:val="24"/>
        </w:rPr>
      </w:pPr>
      <w:r w:rsidRPr="006C7E65">
        <w:rPr>
          <w:rFonts w:ascii="宋体"/>
          <w:noProof/>
          <w:sz w:val="24"/>
          <w:szCs w:val="24"/>
        </w:rPr>
        <w:pict>
          <v:shape id="图片 3" o:spid="_x0000_i1028" type="#_x0000_t75" alt="IL0V6793" style="width:223.5pt;height:150pt;visibility:visible">
            <v:imagedata r:id="rId10" o:title=""/>
          </v:shape>
        </w:pict>
      </w:r>
      <w:r w:rsidRPr="006C7E65">
        <w:rPr>
          <w:rFonts w:ascii="宋体"/>
          <w:noProof/>
          <w:sz w:val="24"/>
          <w:szCs w:val="24"/>
        </w:rPr>
        <w:pict>
          <v:shape id="图片 4" o:spid="_x0000_i1029" type="#_x0000_t75" alt="20110111" style="width:225.75pt;height:149.25pt;visibility:visible">
            <v:imagedata r:id="rId11" o:title=""/>
          </v:shape>
        </w:pict>
      </w:r>
    </w:p>
    <w:p w:rsidR="009C6EE0" w:rsidRPr="00094BBC" w:rsidRDefault="009C6EE0" w:rsidP="00A25DE8">
      <w:pPr>
        <w:spacing w:line="360" w:lineRule="auto"/>
        <w:ind w:left="-28" w:right="-28" w:firstLine="480"/>
        <w:jc w:val="center"/>
        <w:rPr>
          <w:rFonts w:ascii="宋体"/>
          <w:sz w:val="24"/>
          <w:szCs w:val="24"/>
        </w:rPr>
      </w:pPr>
      <w:r w:rsidRPr="00094BBC">
        <w:rPr>
          <w:rFonts w:ascii="宋体" w:hAnsi="宋体" w:hint="eastAsia"/>
          <w:sz w:val="24"/>
          <w:szCs w:val="24"/>
        </w:rPr>
        <w:t>创新创业团队颁奖仪式现场</w:t>
      </w:r>
    </w:p>
    <w:p w:rsidR="009C6EE0" w:rsidRPr="00094BBC" w:rsidRDefault="009C6EE0" w:rsidP="00513D01">
      <w:pPr>
        <w:adjustRightInd w:val="0"/>
        <w:snapToGrid w:val="0"/>
        <w:spacing w:beforeLines="50" w:line="360" w:lineRule="auto"/>
        <w:ind w:firstLineChars="200" w:firstLine="31680"/>
        <w:rPr>
          <w:rFonts w:ascii="黑体" w:eastAsia="黑体" w:hAnsi="黑体" w:cs="黑体"/>
          <w:b/>
          <w:sz w:val="28"/>
          <w:szCs w:val="28"/>
        </w:rPr>
      </w:pPr>
      <w:bookmarkStart w:id="1" w:name="_Toc27406326"/>
      <w:r w:rsidRPr="00094BBC">
        <w:rPr>
          <w:rFonts w:ascii="黑体" w:eastAsia="黑体" w:hAnsi="黑体" w:cs="黑体" w:hint="eastAsia"/>
          <w:b/>
          <w:sz w:val="28"/>
          <w:szCs w:val="28"/>
        </w:rPr>
        <w:t>三、培养条件</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8"/>
        </w:rPr>
      </w:pPr>
      <w:r w:rsidRPr="00094BBC">
        <w:rPr>
          <w:rFonts w:ascii="黑体" w:eastAsia="黑体" w:hAnsi="黑体" w:cs="仿宋_GB2312" w:hint="eastAsia"/>
          <w:b/>
          <w:bCs/>
          <w:sz w:val="28"/>
          <w:szCs w:val="28"/>
        </w:rPr>
        <w:t>（一）教学经费投入</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教学经费是维持教学活动顺利展开的基础和前提，近年来，软件学院合理使用、管理教学经费，有效提升办学条件，提高教学质量，满足课程资源开发、教学设施配备、教学资料、教师培训、外出学习交流活动等经费需要，确保人才培养的资金需求。</w:t>
      </w:r>
    </w:p>
    <w:p w:rsidR="009C6EE0" w:rsidRPr="00094BBC" w:rsidRDefault="009C6EE0" w:rsidP="00A25DE8">
      <w:pPr>
        <w:pStyle w:val="CM9"/>
        <w:spacing w:line="360" w:lineRule="auto"/>
        <w:ind w:firstLine="585"/>
        <w:rPr>
          <w:rFonts w:ascii="仿宋_GB2312" w:eastAsia="仿宋_GB2312" w:cs="Times New Roman"/>
          <w:kern w:val="2"/>
          <w:sz w:val="28"/>
          <w:szCs w:val="28"/>
        </w:rPr>
      </w:pPr>
      <w:r w:rsidRPr="00094BBC">
        <w:rPr>
          <w:rFonts w:ascii="仿宋_GB2312" w:eastAsia="仿宋_GB2312" w:cs="Times New Roman"/>
          <w:kern w:val="2"/>
          <w:sz w:val="28"/>
          <w:szCs w:val="28"/>
        </w:rPr>
        <w:t xml:space="preserve">2013 </w:t>
      </w:r>
      <w:r w:rsidRPr="00094BBC">
        <w:rPr>
          <w:rFonts w:ascii="仿宋_GB2312" w:eastAsia="仿宋_GB2312" w:cs="Times New Roman" w:hint="eastAsia"/>
          <w:kern w:val="2"/>
          <w:sz w:val="28"/>
          <w:szCs w:val="28"/>
        </w:rPr>
        <w:t>年，院本科教学日常运行经费年均支出近</w:t>
      </w:r>
      <w:r w:rsidRPr="00094BBC">
        <w:rPr>
          <w:rFonts w:ascii="仿宋_GB2312" w:eastAsia="仿宋_GB2312" w:cs="Times New Roman"/>
          <w:kern w:val="2"/>
          <w:sz w:val="28"/>
          <w:szCs w:val="28"/>
        </w:rPr>
        <w:t>60</w:t>
      </w:r>
      <w:r w:rsidRPr="00094BBC">
        <w:rPr>
          <w:rFonts w:ascii="仿宋_GB2312" w:eastAsia="仿宋_GB2312" w:cs="Times New Roman" w:hint="eastAsia"/>
          <w:kern w:val="2"/>
          <w:sz w:val="28"/>
          <w:szCs w:val="28"/>
        </w:rPr>
        <w:t>万元，教学改革费用</w:t>
      </w:r>
      <w:r w:rsidRPr="00094BBC">
        <w:rPr>
          <w:rFonts w:ascii="仿宋_GB2312" w:eastAsia="仿宋_GB2312" w:cs="Times New Roman"/>
          <w:kern w:val="2"/>
          <w:sz w:val="28"/>
          <w:szCs w:val="28"/>
        </w:rPr>
        <w:t>95</w:t>
      </w:r>
      <w:r w:rsidRPr="00094BBC">
        <w:rPr>
          <w:rFonts w:ascii="仿宋_GB2312" w:eastAsia="仿宋_GB2312" w:cs="Times New Roman" w:hint="eastAsia"/>
          <w:kern w:val="2"/>
          <w:sz w:val="28"/>
          <w:szCs w:val="28"/>
        </w:rPr>
        <w:t>万元，校内外实践实习费用</w:t>
      </w:r>
      <w:r w:rsidRPr="00094BBC">
        <w:rPr>
          <w:rFonts w:ascii="仿宋_GB2312" w:eastAsia="仿宋_GB2312" w:cs="Times New Roman"/>
          <w:kern w:val="2"/>
          <w:sz w:val="28"/>
          <w:szCs w:val="28"/>
        </w:rPr>
        <w:t>95</w:t>
      </w:r>
      <w:r w:rsidRPr="00094BBC">
        <w:rPr>
          <w:rFonts w:ascii="仿宋_GB2312" w:eastAsia="仿宋_GB2312" w:cs="Times New Roman" w:hint="eastAsia"/>
          <w:kern w:val="2"/>
          <w:sz w:val="28"/>
          <w:szCs w:val="28"/>
        </w:rPr>
        <w:t>万元。</w:t>
      </w:r>
      <w:r w:rsidRPr="00094BBC">
        <w:rPr>
          <w:rFonts w:ascii="仿宋_GB2312" w:eastAsia="仿宋_GB2312" w:cs="Times New Roman"/>
          <w:kern w:val="2"/>
          <w:sz w:val="28"/>
          <w:szCs w:val="28"/>
        </w:rPr>
        <w:t>2014</w:t>
      </w:r>
      <w:r w:rsidRPr="00094BBC">
        <w:rPr>
          <w:rFonts w:ascii="仿宋_GB2312" w:eastAsia="仿宋_GB2312" w:cs="Times New Roman" w:hint="eastAsia"/>
          <w:kern w:val="2"/>
          <w:sz w:val="28"/>
          <w:szCs w:val="28"/>
        </w:rPr>
        <w:t>年，学院本科教学日常运行经费年均支出</w:t>
      </w:r>
      <w:r w:rsidRPr="00094BBC">
        <w:rPr>
          <w:rFonts w:ascii="仿宋_GB2312" w:eastAsia="仿宋_GB2312" w:cs="Times New Roman"/>
          <w:kern w:val="2"/>
          <w:sz w:val="28"/>
          <w:szCs w:val="28"/>
        </w:rPr>
        <w:t>60</w:t>
      </w:r>
      <w:r w:rsidRPr="00094BBC">
        <w:rPr>
          <w:rFonts w:ascii="仿宋_GB2312" w:eastAsia="仿宋_GB2312" w:cs="Times New Roman" w:hint="eastAsia"/>
          <w:kern w:val="2"/>
          <w:sz w:val="28"/>
          <w:szCs w:val="28"/>
        </w:rPr>
        <w:t>万元，教学改革费用</w:t>
      </w:r>
      <w:r w:rsidRPr="00094BBC">
        <w:rPr>
          <w:rFonts w:ascii="仿宋_GB2312" w:eastAsia="仿宋_GB2312" w:cs="Times New Roman"/>
          <w:kern w:val="2"/>
          <w:sz w:val="28"/>
          <w:szCs w:val="28"/>
        </w:rPr>
        <w:t>102</w:t>
      </w:r>
      <w:r w:rsidRPr="00094BBC">
        <w:rPr>
          <w:rFonts w:ascii="仿宋_GB2312" w:eastAsia="仿宋_GB2312" w:cs="Times New Roman" w:hint="eastAsia"/>
          <w:kern w:val="2"/>
          <w:sz w:val="28"/>
          <w:szCs w:val="28"/>
        </w:rPr>
        <w:t>万元，校内外实践实习费用近</w:t>
      </w:r>
      <w:r w:rsidRPr="00094BBC">
        <w:rPr>
          <w:rFonts w:ascii="仿宋_GB2312" w:eastAsia="仿宋_GB2312" w:cs="Times New Roman"/>
          <w:kern w:val="2"/>
          <w:sz w:val="28"/>
          <w:szCs w:val="28"/>
        </w:rPr>
        <w:t>100</w:t>
      </w:r>
      <w:r w:rsidRPr="00094BBC">
        <w:rPr>
          <w:rFonts w:ascii="仿宋_GB2312" w:eastAsia="仿宋_GB2312" w:cs="Times New Roman" w:hint="eastAsia"/>
          <w:kern w:val="2"/>
          <w:sz w:val="28"/>
          <w:szCs w:val="28"/>
        </w:rPr>
        <w:t>万元。</w:t>
      </w:r>
      <w:r w:rsidRPr="00094BBC">
        <w:rPr>
          <w:rFonts w:ascii="仿宋_GB2312" w:eastAsia="仿宋_GB2312" w:cs="Times New Roman"/>
          <w:kern w:val="2"/>
          <w:sz w:val="28"/>
          <w:szCs w:val="28"/>
        </w:rPr>
        <w:t>2015</w:t>
      </w:r>
      <w:r w:rsidRPr="00094BBC">
        <w:rPr>
          <w:rFonts w:ascii="仿宋_GB2312" w:eastAsia="仿宋_GB2312" w:cs="Times New Roman" w:hint="eastAsia"/>
          <w:kern w:val="2"/>
          <w:sz w:val="28"/>
          <w:szCs w:val="28"/>
        </w:rPr>
        <w:t>年，学院本科教学日常运行经费年均支出</w:t>
      </w:r>
      <w:r w:rsidRPr="00094BBC">
        <w:rPr>
          <w:rFonts w:ascii="仿宋_GB2312" w:eastAsia="仿宋_GB2312" w:cs="Times New Roman"/>
          <w:kern w:val="2"/>
          <w:sz w:val="28"/>
          <w:szCs w:val="28"/>
        </w:rPr>
        <w:t>61</w:t>
      </w:r>
      <w:r w:rsidRPr="00094BBC">
        <w:rPr>
          <w:rFonts w:ascii="仿宋_GB2312" w:eastAsia="仿宋_GB2312" w:cs="Times New Roman" w:hint="eastAsia"/>
          <w:kern w:val="2"/>
          <w:sz w:val="28"/>
          <w:szCs w:val="28"/>
        </w:rPr>
        <w:t>万元，教学改革费用</w:t>
      </w:r>
      <w:r w:rsidRPr="00094BBC">
        <w:rPr>
          <w:rFonts w:ascii="仿宋_GB2312" w:eastAsia="仿宋_GB2312" w:cs="Times New Roman"/>
          <w:kern w:val="2"/>
          <w:sz w:val="28"/>
          <w:szCs w:val="28"/>
        </w:rPr>
        <w:t>110</w:t>
      </w:r>
      <w:r w:rsidRPr="00094BBC">
        <w:rPr>
          <w:rFonts w:ascii="仿宋_GB2312" w:eastAsia="仿宋_GB2312" w:cs="Times New Roman" w:hint="eastAsia"/>
          <w:kern w:val="2"/>
          <w:sz w:val="28"/>
          <w:szCs w:val="28"/>
        </w:rPr>
        <w:t>万元，校内外实践实习费用</w:t>
      </w:r>
      <w:r w:rsidRPr="00094BBC">
        <w:rPr>
          <w:rFonts w:ascii="仿宋_GB2312" w:eastAsia="仿宋_GB2312" w:cs="Times New Roman"/>
          <w:kern w:val="2"/>
          <w:sz w:val="28"/>
          <w:szCs w:val="28"/>
        </w:rPr>
        <w:t>104</w:t>
      </w:r>
      <w:r w:rsidRPr="00094BBC">
        <w:rPr>
          <w:rFonts w:ascii="仿宋_GB2312" w:eastAsia="仿宋_GB2312" w:cs="Times New Roman" w:hint="eastAsia"/>
          <w:kern w:val="2"/>
          <w:sz w:val="28"/>
          <w:szCs w:val="28"/>
        </w:rPr>
        <w:t>万元。</w:t>
      </w:r>
      <w:r w:rsidRPr="00094BBC">
        <w:rPr>
          <w:rFonts w:ascii="仿宋_GB2312" w:eastAsia="仿宋_GB2312" w:cs="Times New Roman"/>
          <w:kern w:val="2"/>
          <w:sz w:val="28"/>
          <w:szCs w:val="28"/>
        </w:rPr>
        <w:t>2016</w:t>
      </w:r>
      <w:r w:rsidRPr="00094BBC">
        <w:rPr>
          <w:rFonts w:ascii="仿宋_GB2312" w:eastAsia="仿宋_GB2312" w:cs="Times New Roman" w:hint="eastAsia"/>
          <w:kern w:val="2"/>
          <w:sz w:val="28"/>
          <w:szCs w:val="28"/>
        </w:rPr>
        <w:t>年，学院本科教学日常运行经费年均支出</w:t>
      </w:r>
      <w:r w:rsidRPr="00094BBC">
        <w:rPr>
          <w:rFonts w:ascii="仿宋_GB2312" w:eastAsia="仿宋_GB2312" w:cs="Times New Roman"/>
          <w:kern w:val="2"/>
          <w:sz w:val="28"/>
          <w:szCs w:val="28"/>
        </w:rPr>
        <w:t>65</w:t>
      </w:r>
      <w:r w:rsidRPr="00094BBC">
        <w:rPr>
          <w:rFonts w:ascii="仿宋_GB2312" w:eastAsia="仿宋_GB2312" w:cs="Times New Roman" w:hint="eastAsia"/>
          <w:kern w:val="2"/>
          <w:sz w:val="28"/>
          <w:szCs w:val="28"/>
        </w:rPr>
        <w:t>万元，教学改革费用</w:t>
      </w:r>
      <w:r w:rsidRPr="00094BBC">
        <w:rPr>
          <w:rFonts w:ascii="仿宋_GB2312" w:eastAsia="仿宋_GB2312" w:cs="Times New Roman"/>
          <w:kern w:val="2"/>
          <w:sz w:val="28"/>
          <w:szCs w:val="28"/>
        </w:rPr>
        <w:t>105</w:t>
      </w:r>
      <w:r w:rsidRPr="00094BBC">
        <w:rPr>
          <w:rFonts w:ascii="仿宋_GB2312" w:eastAsia="仿宋_GB2312" w:cs="Times New Roman" w:hint="eastAsia"/>
          <w:kern w:val="2"/>
          <w:sz w:val="28"/>
          <w:szCs w:val="28"/>
        </w:rPr>
        <w:t>万元，校内外实践实习费用</w:t>
      </w:r>
      <w:r w:rsidRPr="00094BBC">
        <w:rPr>
          <w:rFonts w:ascii="仿宋_GB2312" w:eastAsia="仿宋_GB2312" w:cs="Times New Roman"/>
          <w:kern w:val="2"/>
          <w:sz w:val="28"/>
          <w:szCs w:val="28"/>
        </w:rPr>
        <w:t>110</w:t>
      </w:r>
      <w:r w:rsidRPr="00094BBC">
        <w:rPr>
          <w:rFonts w:ascii="仿宋_GB2312" w:eastAsia="仿宋_GB2312" w:cs="Times New Roman" w:hint="eastAsia"/>
          <w:kern w:val="2"/>
          <w:sz w:val="28"/>
          <w:szCs w:val="28"/>
        </w:rPr>
        <w:t>万元。几年中，生均本科实验教学经费和本科实习经费均达到学校的要求，各项教学费用及时、足额投入到教学工作中，保障了人才培养工作的顺利进行。</w:t>
      </w:r>
    </w:p>
    <w:p w:rsidR="009C6EE0" w:rsidRPr="00094BBC" w:rsidRDefault="009C6EE0" w:rsidP="00833DC7">
      <w:pPr>
        <w:ind w:firstLineChars="200" w:firstLine="31680"/>
        <w:rPr>
          <w:rFonts w:ascii="黑体" w:eastAsia="黑体" w:hAnsi="黑体"/>
          <w:sz w:val="28"/>
          <w:szCs w:val="28"/>
        </w:rPr>
      </w:pPr>
      <w:r w:rsidRPr="00094BBC">
        <w:rPr>
          <w:rFonts w:ascii="黑体" w:eastAsia="黑体" w:hAnsi="黑体" w:hint="eastAsia"/>
          <w:sz w:val="28"/>
          <w:szCs w:val="28"/>
        </w:rPr>
        <w:t>（二）教学设备</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软件学院占地总面积</w:t>
      </w:r>
      <w:r w:rsidRPr="00094BBC">
        <w:rPr>
          <w:rFonts w:ascii="仿宋_GB2312" w:eastAsia="仿宋_GB2312"/>
          <w:sz w:val="28"/>
          <w:szCs w:val="28"/>
        </w:rPr>
        <w:t>340.15</w:t>
      </w:r>
      <w:r w:rsidRPr="00094BBC">
        <w:rPr>
          <w:rFonts w:ascii="仿宋_GB2312" w:eastAsia="仿宋_GB2312" w:hint="eastAsia"/>
          <w:sz w:val="28"/>
          <w:szCs w:val="28"/>
        </w:rPr>
        <w:t>亩。其中教学科研、学生生活及附属用房等校园建设用地</w:t>
      </w:r>
      <w:r w:rsidRPr="00094BBC">
        <w:rPr>
          <w:rFonts w:ascii="仿宋_GB2312" w:eastAsia="仿宋_GB2312"/>
          <w:sz w:val="28"/>
          <w:szCs w:val="28"/>
        </w:rPr>
        <w:t>230</w:t>
      </w:r>
      <w:r w:rsidRPr="00094BBC">
        <w:rPr>
          <w:rFonts w:ascii="仿宋_GB2312" w:eastAsia="仿宋_GB2312" w:hint="eastAsia"/>
          <w:sz w:val="28"/>
          <w:szCs w:val="28"/>
        </w:rPr>
        <w:t>亩。各类校舍建筑面积</w:t>
      </w:r>
      <w:r w:rsidRPr="00094BBC">
        <w:rPr>
          <w:rFonts w:ascii="仿宋_GB2312" w:eastAsia="仿宋_GB2312"/>
          <w:sz w:val="28"/>
          <w:szCs w:val="28"/>
        </w:rPr>
        <w:t>14</w:t>
      </w:r>
      <w:r w:rsidRPr="00094BBC">
        <w:rPr>
          <w:rFonts w:ascii="仿宋_GB2312" w:eastAsia="仿宋_GB2312" w:hint="eastAsia"/>
          <w:sz w:val="28"/>
          <w:szCs w:val="28"/>
        </w:rPr>
        <w:t>万平方米，其中教学科研及辅助用房</w:t>
      </w:r>
      <w:r w:rsidRPr="00094BBC">
        <w:rPr>
          <w:rFonts w:ascii="仿宋_GB2312" w:eastAsia="仿宋_GB2312"/>
          <w:sz w:val="28"/>
          <w:szCs w:val="28"/>
        </w:rPr>
        <w:t>6</w:t>
      </w:r>
      <w:r w:rsidRPr="00094BBC">
        <w:rPr>
          <w:rFonts w:ascii="仿宋_GB2312" w:eastAsia="仿宋_GB2312" w:hint="eastAsia"/>
          <w:sz w:val="28"/>
          <w:szCs w:val="28"/>
        </w:rPr>
        <w:t>万平方米，包括教室</w:t>
      </w:r>
      <w:r w:rsidRPr="00094BBC">
        <w:rPr>
          <w:rFonts w:ascii="仿宋_GB2312" w:eastAsia="仿宋_GB2312"/>
          <w:sz w:val="28"/>
          <w:szCs w:val="28"/>
        </w:rPr>
        <w:t>37800</w:t>
      </w:r>
      <w:r w:rsidRPr="00094BBC">
        <w:rPr>
          <w:rFonts w:ascii="仿宋_GB2312" w:eastAsia="仿宋_GB2312" w:hint="eastAsia"/>
          <w:sz w:val="28"/>
          <w:szCs w:val="28"/>
        </w:rPr>
        <w:t>平方米、图书馆</w:t>
      </w:r>
      <w:r w:rsidRPr="00094BBC">
        <w:rPr>
          <w:rFonts w:ascii="仿宋_GB2312" w:eastAsia="仿宋_GB2312"/>
          <w:sz w:val="28"/>
          <w:szCs w:val="28"/>
        </w:rPr>
        <w:t>4000</w:t>
      </w:r>
      <w:r w:rsidRPr="00094BBC">
        <w:rPr>
          <w:rFonts w:ascii="仿宋_GB2312" w:eastAsia="仿宋_GB2312" w:hint="eastAsia"/>
          <w:sz w:val="28"/>
          <w:szCs w:val="28"/>
        </w:rPr>
        <w:t>平方米、实验用房</w:t>
      </w:r>
      <w:r w:rsidRPr="00094BBC">
        <w:rPr>
          <w:rFonts w:ascii="仿宋_GB2312" w:eastAsia="仿宋_GB2312"/>
          <w:sz w:val="28"/>
          <w:szCs w:val="28"/>
        </w:rPr>
        <w:t>2580</w:t>
      </w:r>
      <w:r w:rsidRPr="00094BBC">
        <w:rPr>
          <w:rFonts w:ascii="仿宋_GB2312" w:eastAsia="仿宋_GB2312" w:hint="eastAsia"/>
          <w:sz w:val="28"/>
          <w:szCs w:val="28"/>
        </w:rPr>
        <w:t>平方米，具有良好的办学条件。</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学院拥有专业实验室</w:t>
      </w:r>
      <w:r w:rsidRPr="00094BBC">
        <w:rPr>
          <w:rFonts w:ascii="仿宋_GB2312" w:eastAsia="仿宋_GB2312"/>
          <w:sz w:val="28"/>
          <w:szCs w:val="28"/>
        </w:rPr>
        <w:t>24</w:t>
      </w:r>
      <w:r w:rsidRPr="00094BBC">
        <w:rPr>
          <w:rFonts w:ascii="仿宋_GB2312" w:eastAsia="仿宋_GB2312" w:hint="eastAsia"/>
          <w:sz w:val="28"/>
          <w:szCs w:val="28"/>
        </w:rPr>
        <w:t>个，高档微机</w:t>
      </w:r>
      <w:r w:rsidRPr="00094BBC">
        <w:rPr>
          <w:rFonts w:ascii="仿宋_GB2312" w:eastAsia="仿宋_GB2312"/>
          <w:sz w:val="28"/>
          <w:szCs w:val="28"/>
        </w:rPr>
        <w:t>1052</w:t>
      </w:r>
      <w:r w:rsidRPr="00094BBC">
        <w:rPr>
          <w:rFonts w:ascii="仿宋_GB2312" w:eastAsia="仿宋_GB2312" w:hint="eastAsia"/>
          <w:sz w:val="28"/>
          <w:szCs w:val="28"/>
        </w:rPr>
        <w:t>台、各类服务器十余台，</w:t>
      </w:r>
      <w:r w:rsidRPr="00094BBC">
        <w:rPr>
          <w:rFonts w:ascii="仿宋_GB2312" w:eastAsia="仿宋_GB2312"/>
          <w:sz w:val="28"/>
          <w:szCs w:val="28"/>
        </w:rPr>
        <w:t>19</w:t>
      </w:r>
      <w:r w:rsidRPr="00094BBC">
        <w:rPr>
          <w:rFonts w:ascii="仿宋_GB2312" w:eastAsia="仿宋_GB2312" w:hint="eastAsia"/>
          <w:sz w:val="28"/>
          <w:szCs w:val="28"/>
        </w:rPr>
        <w:t>个多媒体教室、</w:t>
      </w:r>
      <w:r w:rsidRPr="00094BBC">
        <w:rPr>
          <w:rFonts w:ascii="仿宋_GB2312" w:eastAsia="仿宋_GB2312"/>
          <w:sz w:val="28"/>
          <w:szCs w:val="28"/>
        </w:rPr>
        <w:t>4</w:t>
      </w:r>
      <w:r w:rsidRPr="00094BBC">
        <w:rPr>
          <w:rFonts w:ascii="仿宋_GB2312" w:eastAsia="仿宋_GB2312" w:hint="eastAsia"/>
          <w:sz w:val="28"/>
          <w:szCs w:val="28"/>
        </w:rPr>
        <w:t>个</w:t>
      </w:r>
      <w:r w:rsidRPr="00094BBC">
        <w:rPr>
          <w:rFonts w:ascii="仿宋_GB2312" w:eastAsia="仿宋_GB2312"/>
          <w:sz w:val="28"/>
          <w:szCs w:val="28"/>
        </w:rPr>
        <w:t>80</w:t>
      </w:r>
      <w:r w:rsidRPr="00094BBC">
        <w:rPr>
          <w:rFonts w:ascii="仿宋_GB2312" w:eastAsia="仿宋_GB2312" w:hint="eastAsia"/>
          <w:sz w:val="28"/>
          <w:szCs w:val="28"/>
        </w:rPr>
        <w:t>座的语音听力室，为现代化教学提供了保障；投资</w:t>
      </w:r>
      <w:r w:rsidRPr="00094BBC">
        <w:rPr>
          <w:rFonts w:ascii="仿宋_GB2312" w:eastAsia="仿宋_GB2312"/>
          <w:sz w:val="28"/>
          <w:szCs w:val="28"/>
        </w:rPr>
        <w:t>1540</w:t>
      </w:r>
      <w:r w:rsidRPr="00094BBC">
        <w:rPr>
          <w:rFonts w:ascii="仿宋_GB2312" w:eastAsia="仿宋_GB2312" w:hint="eastAsia"/>
          <w:sz w:val="28"/>
          <w:szCs w:val="28"/>
        </w:rPr>
        <w:t>万元建设的</w:t>
      </w:r>
      <w:r w:rsidRPr="00094BBC">
        <w:rPr>
          <w:rFonts w:ascii="仿宋_GB2312" w:eastAsia="仿宋_GB2312"/>
          <w:sz w:val="28"/>
          <w:szCs w:val="28"/>
        </w:rPr>
        <w:t>“</w:t>
      </w:r>
      <w:r w:rsidRPr="00094BBC">
        <w:rPr>
          <w:rFonts w:ascii="仿宋_GB2312" w:eastAsia="仿宋_GB2312" w:hint="eastAsia"/>
          <w:sz w:val="28"/>
          <w:szCs w:val="28"/>
        </w:rPr>
        <w:t>山东省高性能计算中心</w:t>
      </w:r>
      <w:r w:rsidRPr="00094BBC">
        <w:rPr>
          <w:rFonts w:ascii="仿宋_GB2312" w:eastAsia="仿宋_GB2312"/>
          <w:sz w:val="28"/>
          <w:szCs w:val="28"/>
        </w:rPr>
        <w:t>”</w:t>
      </w:r>
      <w:r w:rsidRPr="00094BBC">
        <w:rPr>
          <w:rFonts w:ascii="仿宋_GB2312" w:eastAsia="仿宋_GB2312" w:hint="eastAsia"/>
          <w:sz w:val="28"/>
          <w:szCs w:val="28"/>
        </w:rPr>
        <w:t>，系统的聚合计算能力为</w:t>
      </w:r>
      <w:r w:rsidRPr="00094BBC">
        <w:rPr>
          <w:rFonts w:ascii="仿宋_GB2312" w:eastAsia="仿宋_GB2312"/>
          <w:sz w:val="28"/>
          <w:szCs w:val="28"/>
        </w:rPr>
        <w:t>1.3</w:t>
      </w:r>
      <w:r w:rsidRPr="00094BBC">
        <w:rPr>
          <w:rFonts w:ascii="仿宋_GB2312" w:eastAsia="仿宋_GB2312" w:hint="eastAsia"/>
          <w:sz w:val="28"/>
          <w:szCs w:val="28"/>
        </w:rPr>
        <w:t>万亿次</w:t>
      </w:r>
      <w:r w:rsidRPr="00094BBC">
        <w:rPr>
          <w:rFonts w:ascii="仿宋_GB2312" w:eastAsia="仿宋_GB2312"/>
          <w:sz w:val="28"/>
          <w:szCs w:val="28"/>
        </w:rPr>
        <w:t>/</w:t>
      </w:r>
      <w:r w:rsidRPr="00094BBC">
        <w:rPr>
          <w:rFonts w:ascii="仿宋_GB2312" w:eastAsia="仿宋_GB2312" w:hint="eastAsia"/>
          <w:sz w:val="28"/>
          <w:szCs w:val="28"/>
        </w:rPr>
        <w:t>秒，存储容量为</w:t>
      </w:r>
      <w:r w:rsidRPr="00094BBC">
        <w:rPr>
          <w:rFonts w:ascii="仿宋_GB2312" w:eastAsia="仿宋_GB2312"/>
          <w:sz w:val="28"/>
          <w:szCs w:val="28"/>
        </w:rPr>
        <w:t>18TB</w:t>
      </w:r>
      <w:r w:rsidRPr="00094BBC">
        <w:rPr>
          <w:rFonts w:ascii="仿宋_GB2312" w:eastAsia="仿宋_GB2312" w:hint="eastAsia"/>
          <w:sz w:val="28"/>
          <w:szCs w:val="28"/>
        </w:rPr>
        <w:t>，是教育部首批</w:t>
      </w:r>
      <w:r w:rsidRPr="00094BBC">
        <w:rPr>
          <w:rFonts w:ascii="仿宋_GB2312" w:eastAsia="仿宋_GB2312"/>
          <w:sz w:val="28"/>
          <w:szCs w:val="28"/>
        </w:rPr>
        <w:t>“</w:t>
      </w:r>
      <w:r w:rsidRPr="00094BBC">
        <w:rPr>
          <w:rFonts w:ascii="仿宋_GB2312" w:eastAsia="仿宋_GB2312" w:hint="eastAsia"/>
          <w:sz w:val="28"/>
          <w:szCs w:val="28"/>
        </w:rPr>
        <w:t>中国教育科研网格</w:t>
      </w:r>
      <w:r w:rsidRPr="00094BBC">
        <w:rPr>
          <w:rFonts w:ascii="仿宋_GB2312" w:eastAsia="仿宋_GB2312"/>
          <w:sz w:val="28"/>
          <w:szCs w:val="28"/>
        </w:rPr>
        <w:t>”</w:t>
      </w:r>
      <w:r w:rsidRPr="00094BBC">
        <w:rPr>
          <w:rFonts w:ascii="仿宋_GB2312" w:eastAsia="仿宋_GB2312"/>
          <w:sz w:val="28"/>
          <w:szCs w:val="28"/>
        </w:rPr>
        <w:t>12</w:t>
      </w:r>
      <w:r w:rsidRPr="00094BBC">
        <w:rPr>
          <w:rFonts w:ascii="仿宋_GB2312" w:eastAsia="仿宋_GB2312" w:hint="eastAsia"/>
          <w:sz w:val="28"/>
          <w:szCs w:val="28"/>
        </w:rPr>
        <w:t>个主节点之一，为学院的教学和科研提供了性能优越的计算平台。每年实验中心基础课教学实验仪器设备的更新率达</w:t>
      </w:r>
      <w:r w:rsidRPr="00094BBC">
        <w:rPr>
          <w:rFonts w:ascii="仿宋_GB2312" w:eastAsia="仿宋_GB2312"/>
          <w:sz w:val="28"/>
          <w:szCs w:val="28"/>
        </w:rPr>
        <w:t>20%</w:t>
      </w:r>
      <w:r w:rsidRPr="00094BBC">
        <w:rPr>
          <w:rFonts w:ascii="仿宋_GB2312" w:eastAsia="仿宋_GB2312" w:hint="eastAsia"/>
          <w:sz w:val="28"/>
          <w:szCs w:val="28"/>
        </w:rPr>
        <w:t>，设备完好率达</w:t>
      </w:r>
      <w:r w:rsidRPr="00094BBC">
        <w:rPr>
          <w:rFonts w:ascii="仿宋_GB2312" w:eastAsia="仿宋_GB2312"/>
          <w:sz w:val="28"/>
          <w:szCs w:val="28"/>
        </w:rPr>
        <w:t>95%</w:t>
      </w:r>
      <w:r w:rsidRPr="00094BBC">
        <w:rPr>
          <w:rFonts w:ascii="仿宋_GB2312" w:eastAsia="仿宋_GB2312" w:hint="eastAsia"/>
          <w:sz w:val="28"/>
          <w:szCs w:val="28"/>
        </w:rPr>
        <w:t>以上。</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“数字媒体技术教育部工程研究中心”</w:t>
      </w:r>
      <w:r w:rsidRPr="00094BBC">
        <w:rPr>
          <w:rFonts w:ascii="仿宋_GB2312" w:eastAsia="仿宋_GB2312"/>
          <w:sz w:val="28"/>
          <w:szCs w:val="28"/>
        </w:rPr>
        <w:t>2015</w:t>
      </w:r>
      <w:r w:rsidRPr="00094BBC">
        <w:rPr>
          <w:rFonts w:ascii="仿宋_GB2312" w:eastAsia="仿宋_GB2312" w:hint="eastAsia"/>
          <w:sz w:val="28"/>
          <w:szCs w:val="28"/>
        </w:rPr>
        <w:t>年度完成中心整体建筑安装，以及实验用房建设。一楼改装，面积</w:t>
      </w:r>
      <w:r w:rsidRPr="00094BBC">
        <w:rPr>
          <w:rFonts w:ascii="仿宋_GB2312" w:eastAsia="仿宋_GB2312"/>
          <w:sz w:val="28"/>
          <w:szCs w:val="28"/>
        </w:rPr>
        <w:t>1000</w:t>
      </w:r>
      <w:r w:rsidRPr="00094BBC">
        <w:rPr>
          <w:rFonts w:ascii="仿宋_GB2312" w:eastAsia="仿宋_GB2312" w:hint="eastAsia"/>
          <w:sz w:val="28"/>
          <w:szCs w:val="28"/>
        </w:rPr>
        <w:t>平方米，包括综合管理部、计算机博物馆、培训咨询部、会议室、接待室。二楼改装，面积</w:t>
      </w:r>
      <w:r w:rsidRPr="00094BBC">
        <w:rPr>
          <w:rFonts w:ascii="仿宋_GB2312" w:eastAsia="仿宋_GB2312"/>
          <w:sz w:val="28"/>
          <w:szCs w:val="28"/>
        </w:rPr>
        <w:t>1000</w:t>
      </w:r>
      <w:r w:rsidRPr="00094BBC">
        <w:rPr>
          <w:rFonts w:ascii="仿宋_GB2312" w:eastAsia="仿宋_GB2312" w:hint="eastAsia"/>
          <w:sz w:val="28"/>
          <w:szCs w:val="28"/>
        </w:rPr>
        <w:t>平方米，包括高性能集群环境，以及测试环境。三楼改装，面积</w:t>
      </w:r>
      <w:r w:rsidRPr="00094BBC">
        <w:rPr>
          <w:rFonts w:ascii="仿宋_GB2312" w:eastAsia="仿宋_GB2312"/>
          <w:sz w:val="28"/>
          <w:szCs w:val="28"/>
        </w:rPr>
        <w:t>1000</w:t>
      </w:r>
      <w:r w:rsidRPr="00094BBC">
        <w:rPr>
          <w:rFonts w:ascii="仿宋_GB2312" w:eastAsia="仿宋_GB2312" w:hint="eastAsia"/>
          <w:sz w:val="28"/>
          <w:szCs w:val="28"/>
        </w:rPr>
        <w:t>平方米，包括媒体渲染研究室、交互技术研究室、服务计算研究室。四楼改装，面积</w:t>
      </w:r>
      <w:r w:rsidRPr="00094BBC">
        <w:rPr>
          <w:rFonts w:ascii="仿宋_GB2312" w:eastAsia="仿宋_GB2312"/>
          <w:sz w:val="28"/>
          <w:szCs w:val="28"/>
        </w:rPr>
        <w:t>1000</w:t>
      </w:r>
      <w:r w:rsidRPr="00094BBC">
        <w:rPr>
          <w:rFonts w:ascii="仿宋_GB2312" w:eastAsia="仿宋_GB2312" w:hint="eastAsia"/>
          <w:sz w:val="28"/>
          <w:szCs w:val="28"/>
        </w:rPr>
        <w:t>平方米，包括前瞻技术研究室。地下一层改装，面积</w:t>
      </w:r>
      <w:r w:rsidRPr="00094BBC">
        <w:rPr>
          <w:rFonts w:ascii="仿宋_GB2312" w:eastAsia="仿宋_GB2312"/>
          <w:sz w:val="28"/>
          <w:szCs w:val="28"/>
        </w:rPr>
        <w:t>1000</w:t>
      </w:r>
      <w:r w:rsidRPr="00094BBC">
        <w:rPr>
          <w:rFonts w:ascii="仿宋_GB2312" w:eastAsia="仿宋_GB2312" w:hint="eastAsia"/>
          <w:sz w:val="28"/>
          <w:szCs w:val="28"/>
        </w:rPr>
        <w:t>平方米，包括媒体设计与三维打印工作室、群体交互与动画制作工作室、媒体分析与服务平台工作室。动漫设计圆楼改装，面积</w:t>
      </w:r>
      <w:r w:rsidRPr="00094BBC">
        <w:rPr>
          <w:rFonts w:ascii="仿宋_GB2312" w:eastAsia="仿宋_GB2312"/>
          <w:sz w:val="28"/>
          <w:szCs w:val="28"/>
        </w:rPr>
        <w:t>400</w:t>
      </w:r>
      <w:r w:rsidRPr="00094BBC">
        <w:rPr>
          <w:rFonts w:ascii="仿宋_GB2312" w:eastAsia="仿宋_GB2312" w:hint="eastAsia"/>
          <w:sz w:val="28"/>
          <w:szCs w:val="28"/>
        </w:rPr>
        <w:t>平方米，包括媒体设计与制作中心。根据工程中心建设的需要，购置一系列仪器设备，建设有如下中试平台：</w:t>
      </w:r>
    </w:p>
    <w:p w:rsidR="009C6EE0" w:rsidRPr="00094BBC" w:rsidRDefault="009C6EE0" w:rsidP="00760BDE">
      <w:pPr>
        <w:numPr>
          <w:ilvl w:val="0"/>
          <w:numId w:val="5"/>
        </w:numPr>
        <w:adjustRightInd w:val="0"/>
        <w:snapToGrid w:val="0"/>
        <w:spacing w:line="360" w:lineRule="auto"/>
        <w:rPr>
          <w:rFonts w:ascii="仿宋_GB2312" w:eastAsia="仿宋_GB2312"/>
          <w:sz w:val="28"/>
          <w:szCs w:val="28"/>
        </w:rPr>
      </w:pPr>
      <w:r w:rsidRPr="00094BBC">
        <w:rPr>
          <w:rFonts w:ascii="仿宋_GB2312" w:eastAsia="仿宋_GB2312" w:hint="eastAsia"/>
          <w:sz w:val="28"/>
          <w:szCs w:val="28"/>
        </w:rPr>
        <w:t>三维建模与打印</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该平台可进行</w:t>
      </w:r>
      <w:r w:rsidRPr="00094BBC">
        <w:rPr>
          <w:rFonts w:ascii="仿宋_GB2312" w:eastAsia="仿宋_GB2312"/>
          <w:sz w:val="28"/>
          <w:szCs w:val="28"/>
        </w:rPr>
        <w:t>3D</w:t>
      </w:r>
      <w:r w:rsidRPr="00094BBC">
        <w:rPr>
          <w:rFonts w:ascii="仿宋_GB2312" w:eastAsia="仿宋_GB2312" w:hint="eastAsia"/>
          <w:sz w:val="28"/>
          <w:szCs w:val="28"/>
        </w:rPr>
        <w:t>建模、打印、高度真实感渲染、视频与图像处理。已有设备如下：</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三维扫描仪</w:t>
      </w:r>
      <w:r w:rsidRPr="00094BBC">
        <w:rPr>
          <w:rFonts w:ascii="仿宋_GB2312" w:eastAsia="仿宋_GB2312"/>
          <w:sz w:val="28"/>
          <w:szCs w:val="28"/>
        </w:rPr>
        <w:t xml:space="preserve"> Handyscan</w:t>
      </w:r>
      <w:r w:rsidRPr="00094BBC">
        <w:rPr>
          <w:rFonts w:ascii="仿宋_GB2312" w:eastAsia="仿宋_GB2312" w:hint="eastAsia"/>
          <w:sz w:val="28"/>
          <w:szCs w:val="28"/>
        </w:rPr>
        <w:t>；三维打印机</w:t>
      </w:r>
      <w:r w:rsidRPr="00094BBC">
        <w:rPr>
          <w:rFonts w:ascii="仿宋_GB2312" w:eastAsia="仿宋_GB2312"/>
          <w:sz w:val="28"/>
          <w:szCs w:val="28"/>
        </w:rPr>
        <w:t xml:space="preserve">Projet660pro </w:t>
      </w:r>
      <w:r w:rsidRPr="00094BBC">
        <w:rPr>
          <w:rFonts w:ascii="仿宋_GB2312" w:eastAsia="仿宋_GB2312" w:hint="eastAsia"/>
          <w:sz w:val="28"/>
          <w:szCs w:val="28"/>
        </w:rPr>
        <w:t>、</w:t>
      </w:r>
      <w:r w:rsidRPr="00094BBC">
        <w:rPr>
          <w:rFonts w:ascii="仿宋_GB2312" w:eastAsia="仿宋_GB2312"/>
          <w:sz w:val="28"/>
          <w:szCs w:val="28"/>
        </w:rPr>
        <w:t>Zprinter 650</w:t>
      </w:r>
      <w:r w:rsidRPr="00094BBC">
        <w:rPr>
          <w:rFonts w:ascii="仿宋_GB2312" w:eastAsia="仿宋_GB2312" w:hint="eastAsia"/>
          <w:sz w:val="28"/>
          <w:szCs w:val="28"/>
        </w:rPr>
        <w:t>；高档图形工作站</w:t>
      </w:r>
      <w:r w:rsidRPr="00094BBC">
        <w:rPr>
          <w:rFonts w:ascii="仿宋_GB2312" w:eastAsia="仿宋_GB2312"/>
          <w:sz w:val="28"/>
          <w:szCs w:val="28"/>
        </w:rPr>
        <w:t xml:space="preserve"> HP z800</w:t>
      </w:r>
    </w:p>
    <w:p w:rsidR="009C6EE0" w:rsidRPr="00094BBC" w:rsidRDefault="009C6EE0" w:rsidP="00833DC7">
      <w:pPr>
        <w:adjustRightInd w:val="0"/>
        <w:snapToGrid w:val="0"/>
        <w:spacing w:line="360" w:lineRule="auto"/>
        <w:ind w:firstLineChars="200" w:firstLine="31680"/>
        <w:jc w:val="center"/>
        <w:rPr>
          <w:rFonts w:ascii="仿宋_GB2312" w:eastAsia="仿宋_GB2312"/>
          <w:sz w:val="28"/>
          <w:szCs w:val="28"/>
        </w:rPr>
      </w:pPr>
      <w:r w:rsidRPr="006C7E65">
        <w:rPr>
          <w:rFonts w:ascii="仿宋_GB2312" w:eastAsia="仿宋_GB2312"/>
          <w:sz w:val="28"/>
          <w:szCs w:val="28"/>
        </w:rPr>
        <w:pict>
          <v:shape id="Picture 6" o:spid="_x0000_i1030" type="#_x0000_t75" style="width:123pt;height:108.75pt;visibility:visible">
            <v:imagedata r:id="rId12" o:title=""/>
          </v:shape>
        </w:pict>
      </w:r>
      <w:r w:rsidRPr="006C7E65">
        <w:rPr>
          <w:rFonts w:ascii="仿宋_GB2312" w:eastAsia="仿宋_GB2312"/>
          <w:sz w:val="28"/>
          <w:szCs w:val="28"/>
        </w:rPr>
        <w:pict>
          <v:shape id="Picture 4" o:spid="_x0000_i1031" type="#_x0000_t75" alt="DiscBrake-RGB" style="width:63pt;height:77.25pt;visibility:visible">
            <v:imagedata r:id="rId13" o:title="" croptop="-837f" cropbottom="-1453f" cropleft="-477f" cropright="-621f"/>
            <o:lock v:ext="edit" aspectratio="f"/>
          </v:shape>
        </w:pict>
      </w:r>
    </w:p>
    <w:p w:rsidR="009C6EE0" w:rsidRPr="00094BBC" w:rsidRDefault="009C6EE0" w:rsidP="00760BDE">
      <w:pPr>
        <w:adjustRightInd w:val="0"/>
        <w:snapToGrid w:val="0"/>
        <w:spacing w:line="360" w:lineRule="auto"/>
        <w:jc w:val="center"/>
        <w:rPr>
          <w:rFonts w:ascii="仿宋_GB2312" w:eastAsia="仿宋_GB2312"/>
          <w:sz w:val="24"/>
          <w:szCs w:val="24"/>
        </w:rPr>
      </w:pPr>
      <w:r w:rsidRPr="00094BBC">
        <w:rPr>
          <w:rFonts w:ascii="仿宋_GB2312" w:eastAsia="仿宋_GB2312" w:hint="eastAsia"/>
          <w:sz w:val="24"/>
          <w:szCs w:val="24"/>
        </w:rPr>
        <w:t>三维打印机</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w:t>
      </w:r>
      <w:r w:rsidRPr="00094BBC">
        <w:rPr>
          <w:rFonts w:ascii="仿宋_GB2312" w:eastAsia="仿宋_GB2312"/>
          <w:sz w:val="28"/>
          <w:szCs w:val="28"/>
        </w:rPr>
        <w:t>2</w:t>
      </w:r>
      <w:r w:rsidRPr="00094BBC">
        <w:rPr>
          <w:rFonts w:ascii="仿宋_GB2312" w:eastAsia="仿宋_GB2312" w:hint="eastAsia"/>
          <w:sz w:val="28"/>
          <w:szCs w:val="28"/>
        </w:rPr>
        <w:t>）高度真实感渲染中试平台</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该平台支持</w:t>
      </w:r>
      <w:r w:rsidRPr="00094BBC">
        <w:rPr>
          <w:rFonts w:ascii="仿宋_GB2312" w:eastAsia="仿宋_GB2312"/>
          <w:sz w:val="28"/>
          <w:szCs w:val="28"/>
        </w:rPr>
        <w:t>MIC</w:t>
      </w:r>
      <w:r w:rsidRPr="00094BBC">
        <w:rPr>
          <w:rFonts w:ascii="仿宋_GB2312" w:eastAsia="仿宋_GB2312" w:hint="eastAsia"/>
          <w:sz w:val="28"/>
          <w:szCs w:val="28"/>
        </w:rPr>
        <w:t>架构、</w:t>
      </w:r>
      <w:r w:rsidRPr="00094BBC">
        <w:rPr>
          <w:rFonts w:ascii="仿宋_GB2312" w:eastAsia="仿宋_GB2312"/>
          <w:sz w:val="28"/>
          <w:szCs w:val="28"/>
        </w:rPr>
        <w:t>GPU</w:t>
      </w:r>
      <w:r w:rsidRPr="00094BBC">
        <w:rPr>
          <w:rFonts w:ascii="仿宋_GB2312" w:eastAsia="仿宋_GB2312" w:hint="eastAsia"/>
          <w:sz w:val="28"/>
          <w:szCs w:val="28"/>
        </w:rPr>
        <w:t>架构的并行真实感渲染方法验证；可提供影视级别</w:t>
      </w:r>
      <w:r w:rsidRPr="00094BBC">
        <w:rPr>
          <w:rFonts w:ascii="仿宋_GB2312" w:eastAsia="仿宋_GB2312"/>
          <w:sz w:val="28"/>
          <w:szCs w:val="28"/>
        </w:rPr>
        <w:t>3D</w:t>
      </w:r>
      <w:r w:rsidRPr="00094BBC">
        <w:rPr>
          <w:rFonts w:ascii="仿宋_GB2312" w:eastAsia="仿宋_GB2312" w:hint="eastAsia"/>
          <w:sz w:val="28"/>
          <w:szCs w:val="28"/>
        </w:rPr>
        <w:t>渲染服务。已有设备如下：</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曙光</w:t>
      </w:r>
      <w:r w:rsidRPr="00094BBC">
        <w:rPr>
          <w:rFonts w:ascii="仿宋_GB2312" w:eastAsia="仿宋_GB2312"/>
          <w:sz w:val="28"/>
          <w:szCs w:val="28"/>
        </w:rPr>
        <w:t>GPU</w:t>
      </w:r>
      <w:r w:rsidRPr="00094BBC">
        <w:rPr>
          <w:rFonts w:ascii="仿宋_GB2312" w:eastAsia="仿宋_GB2312" w:hint="eastAsia"/>
          <w:sz w:val="28"/>
          <w:szCs w:val="28"/>
        </w:rPr>
        <w:t>机群系统，</w:t>
      </w:r>
      <w:r w:rsidRPr="00094BBC">
        <w:rPr>
          <w:rFonts w:ascii="仿宋_GB2312" w:eastAsia="仿宋_GB2312"/>
          <w:sz w:val="28"/>
          <w:szCs w:val="28"/>
        </w:rPr>
        <w:t>14Tflops</w:t>
      </w:r>
      <w:r w:rsidRPr="00094BBC">
        <w:rPr>
          <w:rFonts w:ascii="仿宋_GB2312" w:eastAsia="仿宋_GB2312" w:hint="eastAsia"/>
          <w:sz w:val="28"/>
          <w:szCs w:val="28"/>
        </w:rPr>
        <w:t>，</w:t>
      </w:r>
      <w:r w:rsidRPr="00094BBC">
        <w:rPr>
          <w:rFonts w:ascii="仿宋_GB2312" w:eastAsia="仿宋_GB2312"/>
          <w:sz w:val="28"/>
          <w:szCs w:val="28"/>
        </w:rPr>
        <w:t>90TB</w:t>
      </w:r>
      <w:r w:rsidRPr="00094BBC">
        <w:rPr>
          <w:rFonts w:ascii="仿宋_GB2312" w:eastAsia="仿宋_GB2312" w:hint="eastAsia"/>
          <w:sz w:val="28"/>
          <w:szCs w:val="28"/>
        </w:rPr>
        <w:t>存储；浪潮机群系统，</w:t>
      </w:r>
      <w:r w:rsidRPr="00094BBC">
        <w:rPr>
          <w:rFonts w:ascii="仿宋_GB2312" w:eastAsia="仿宋_GB2312"/>
          <w:sz w:val="28"/>
          <w:szCs w:val="28"/>
        </w:rPr>
        <w:t>10Tflops</w:t>
      </w:r>
      <w:r w:rsidRPr="00094BBC">
        <w:rPr>
          <w:rFonts w:ascii="仿宋_GB2312" w:eastAsia="仿宋_GB2312" w:hint="eastAsia"/>
          <w:sz w:val="28"/>
          <w:szCs w:val="28"/>
        </w:rPr>
        <w:t>，</w:t>
      </w:r>
      <w:r w:rsidRPr="00094BBC">
        <w:rPr>
          <w:rFonts w:ascii="仿宋_GB2312" w:eastAsia="仿宋_GB2312"/>
          <w:sz w:val="28"/>
          <w:szCs w:val="28"/>
        </w:rPr>
        <w:t>50TB</w:t>
      </w:r>
      <w:r w:rsidRPr="00094BBC">
        <w:rPr>
          <w:rFonts w:ascii="仿宋_GB2312" w:eastAsia="仿宋_GB2312" w:hint="eastAsia"/>
          <w:sz w:val="28"/>
          <w:szCs w:val="28"/>
        </w:rPr>
        <w:t>存储；英特尔</w:t>
      </w:r>
      <w:r w:rsidRPr="00094BBC">
        <w:rPr>
          <w:rFonts w:ascii="仿宋_GB2312" w:eastAsia="仿宋_GB2312"/>
          <w:sz w:val="28"/>
          <w:szCs w:val="28"/>
        </w:rPr>
        <w:t>Knights Corner</w:t>
      </w:r>
      <w:r w:rsidRPr="00094BBC">
        <w:rPr>
          <w:rFonts w:ascii="仿宋_GB2312" w:eastAsia="仿宋_GB2312" w:hint="eastAsia"/>
          <w:sz w:val="28"/>
          <w:szCs w:val="28"/>
        </w:rPr>
        <w:t>，</w:t>
      </w:r>
      <w:r w:rsidRPr="00094BBC">
        <w:rPr>
          <w:rFonts w:ascii="仿宋_GB2312" w:eastAsia="仿宋_GB2312"/>
          <w:sz w:val="28"/>
          <w:szCs w:val="28"/>
        </w:rPr>
        <w:t xml:space="preserve"> MIC SE10P</w:t>
      </w:r>
      <w:r w:rsidRPr="00094BBC">
        <w:rPr>
          <w:rFonts w:ascii="仿宋_GB2312" w:eastAsia="仿宋_GB2312" w:hint="eastAsia"/>
          <w:sz w:val="28"/>
          <w:szCs w:val="28"/>
        </w:rPr>
        <w:t>；索尼投影仪，</w:t>
      </w:r>
      <w:r w:rsidRPr="00094BBC">
        <w:rPr>
          <w:rFonts w:ascii="仿宋_GB2312" w:eastAsia="仿宋_GB2312"/>
          <w:sz w:val="28"/>
          <w:szCs w:val="28"/>
        </w:rPr>
        <w:t xml:space="preserve"> VPL-VW1100ES 4K</w:t>
      </w:r>
      <w:r w:rsidRPr="00094BBC">
        <w:rPr>
          <w:rFonts w:ascii="仿宋_GB2312" w:eastAsia="仿宋_GB2312" w:hint="eastAsia"/>
          <w:sz w:val="28"/>
          <w:szCs w:val="28"/>
        </w:rPr>
        <w:t>投影机</w:t>
      </w:r>
    </w:p>
    <w:p w:rsidR="009C6EE0" w:rsidRPr="00094BBC" w:rsidRDefault="009C6EE0" w:rsidP="00833DC7">
      <w:pPr>
        <w:adjustRightInd w:val="0"/>
        <w:snapToGrid w:val="0"/>
        <w:spacing w:line="360" w:lineRule="auto"/>
        <w:ind w:firstLineChars="200" w:firstLine="31680"/>
        <w:jc w:val="center"/>
        <w:rPr>
          <w:rFonts w:ascii="仿宋_GB2312" w:eastAsia="仿宋_GB2312"/>
          <w:sz w:val="28"/>
          <w:szCs w:val="28"/>
        </w:rPr>
      </w:pPr>
      <w:r w:rsidRPr="006C7E65">
        <w:rPr>
          <w:rFonts w:ascii="仿宋_GB2312" w:eastAsia="仿宋_GB2312"/>
          <w:sz w:val="28"/>
          <w:szCs w:val="28"/>
        </w:rPr>
        <w:pict>
          <v:shape id="_x0000_i1032" type="#_x0000_t75" style="width:158.25pt;height:60pt;visibility:visible">
            <v:imagedata r:id="rId14" o:title=""/>
          </v:shape>
        </w:pict>
      </w:r>
      <w:r w:rsidRPr="006C7E65">
        <w:rPr>
          <w:rFonts w:ascii="仿宋_GB2312" w:eastAsia="仿宋_GB2312"/>
          <w:sz w:val="28"/>
          <w:szCs w:val="28"/>
        </w:rPr>
        <w:pict>
          <v:shape id="Picture 5" o:spid="_x0000_i1033" type="#_x0000_t75" style="width:148.5pt;height:66.75pt;visibility:visible">
            <v:imagedata r:id="rId15" o:title=""/>
          </v:shape>
        </w:pict>
      </w:r>
    </w:p>
    <w:p w:rsidR="009C6EE0" w:rsidRPr="00094BBC" w:rsidRDefault="009C6EE0" w:rsidP="00760BDE">
      <w:pPr>
        <w:adjustRightInd w:val="0"/>
        <w:snapToGrid w:val="0"/>
        <w:spacing w:line="360" w:lineRule="auto"/>
        <w:jc w:val="center"/>
        <w:rPr>
          <w:rFonts w:ascii="仿宋_GB2312" w:eastAsia="仿宋_GB2312"/>
          <w:sz w:val="24"/>
          <w:szCs w:val="24"/>
        </w:rPr>
      </w:pPr>
      <w:r w:rsidRPr="00094BBC">
        <w:rPr>
          <w:rFonts w:ascii="仿宋_GB2312" w:eastAsia="仿宋_GB2312" w:hint="eastAsia"/>
          <w:sz w:val="24"/>
          <w:szCs w:val="24"/>
        </w:rPr>
        <w:t>渲染机群和处理器</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w:t>
      </w:r>
      <w:r w:rsidRPr="00094BBC">
        <w:rPr>
          <w:rFonts w:ascii="仿宋_GB2312" w:eastAsia="仿宋_GB2312"/>
          <w:sz w:val="28"/>
          <w:szCs w:val="28"/>
        </w:rPr>
        <w:t>3</w:t>
      </w:r>
      <w:r w:rsidRPr="00094BBC">
        <w:rPr>
          <w:rFonts w:ascii="仿宋_GB2312" w:eastAsia="仿宋_GB2312" w:hint="eastAsia"/>
          <w:sz w:val="28"/>
          <w:szCs w:val="28"/>
        </w:rPr>
        <w:t>）自然交互与互动影院中试平台</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该平台为新型交互设计、自然交互方法提供实验环境。已有设备如下：</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sz w:val="28"/>
          <w:szCs w:val="28"/>
        </w:rPr>
        <w:t>Kinect</w:t>
      </w:r>
      <w:r w:rsidRPr="00094BBC">
        <w:rPr>
          <w:rFonts w:ascii="仿宋_GB2312" w:eastAsia="仿宋_GB2312" w:hint="eastAsia"/>
          <w:sz w:val="28"/>
          <w:szCs w:val="28"/>
        </w:rPr>
        <w:t>，</w:t>
      </w:r>
      <w:r w:rsidRPr="00094BBC">
        <w:rPr>
          <w:rFonts w:ascii="仿宋_GB2312" w:eastAsia="仿宋_GB2312"/>
          <w:sz w:val="28"/>
          <w:szCs w:val="28"/>
        </w:rPr>
        <w:t>14</w:t>
      </w:r>
      <w:r w:rsidRPr="00094BBC">
        <w:rPr>
          <w:rFonts w:ascii="仿宋_GB2312" w:eastAsia="仿宋_GB2312" w:hint="eastAsia"/>
          <w:sz w:val="28"/>
          <w:szCs w:val="28"/>
        </w:rPr>
        <w:t>个</w:t>
      </w:r>
      <w:r w:rsidRPr="00094BBC">
        <w:rPr>
          <w:rFonts w:ascii="仿宋_GB2312" w:eastAsia="仿宋_GB2312"/>
          <w:sz w:val="28"/>
          <w:szCs w:val="28"/>
        </w:rPr>
        <w:t>k1, 2</w:t>
      </w:r>
      <w:r w:rsidRPr="00094BBC">
        <w:rPr>
          <w:rFonts w:ascii="仿宋_GB2312" w:eastAsia="仿宋_GB2312" w:hint="eastAsia"/>
          <w:sz w:val="28"/>
          <w:szCs w:val="28"/>
        </w:rPr>
        <w:t>个</w:t>
      </w:r>
      <w:r w:rsidRPr="00094BBC">
        <w:rPr>
          <w:rFonts w:ascii="仿宋_GB2312" w:eastAsia="仿宋_GB2312"/>
          <w:sz w:val="28"/>
          <w:szCs w:val="28"/>
        </w:rPr>
        <w:t>k2</w:t>
      </w:r>
      <w:r w:rsidRPr="00094BBC">
        <w:rPr>
          <w:rFonts w:ascii="仿宋_GB2312" w:eastAsia="仿宋_GB2312" w:hint="eastAsia"/>
          <w:sz w:val="28"/>
          <w:szCs w:val="28"/>
        </w:rPr>
        <w:t>；穿透式头盔</w:t>
      </w:r>
      <w:r w:rsidRPr="00094BBC">
        <w:rPr>
          <w:rFonts w:ascii="仿宋_GB2312" w:eastAsia="仿宋_GB2312"/>
          <w:sz w:val="28"/>
          <w:szCs w:val="28"/>
        </w:rPr>
        <w:t>Arvision 3D</w:t>
      </w:r>
      <w:r w:rsidRPr="00094BBC">
        <w:rPr>
          <w:rFonts w:ascii="仿宋_GB2312" w:eastAsia="仿宋_GB2312" w:hint="eastAsia"/>
          <w:sz w:val="28"/>
          <w:szCs w:val="28"/>
        </w:rPr>
        <w:t>；立体显示屏</w:t>
      </w:r>
      <w:r w:rsidRPr="00094BBC">
        <w:rPr>
          <w:rFonts w:ascii="仿宋_GB2312" w:eastAsia="仿宋_GB2312"/>
          <w:sz w:val="28"/>
          <w:szCs w:val="28"/>
        </w:rPr>
        <w:t>HTC</w:t>
      </w:r>
      <w:r w:rsidRPr="00094BBC">
        <w:rPr>
          <w:rFonts w:ascii="仿宋_GB2312" w:eastAsia="仿宋_GB2312" w:hint="eastAsia"/>
          <w:sz w:val="28"/>
          <w:szCs w:val="28"/>
        </w:rPr>
        <w:t>；自定制环幕、球幕等；动感座椅等</w:t>
      </w:r>
    </w:p>
    <w:p w:rsidR="009C6EE0" w:rsidRPr="00094BBC" w:rsidRDefault="009C6EE0" w:rsidP="00833DC7">
      <w:pPr>
        <w:adjustRightInd w:val="0"/>
        <w:snapToGrid w:val="0"/>
        <w:spacing w:line="360" w:lineRule="auto"/>
        <w:ind w:firstLineChars="200" w:firstLine="31680"/>
        <w:jc w:val="center"/>
        <w:rPr>
          <w:rFonts w:ascii="仿宋_GB2312" w:eastAsia="仿宋_GB2312"/>
          <w:sz w:val="28"/>
          <w:szCs w:val="28"/>
        </w:rPr>
      </w:pPr>
      <w:r w:rsidRPr="006C7E65">
        <w:rPr>
          <w:rFonts w:ascii="仿宋_GB2312" w:eastAsia="仿宋_GB2312"/>
          <w:sz w:val="28"/>
          <w:szCs w:val="28"/>
        </w:rPr>
        <w:pict>
          <v:shape id="Picture 8" o:spid="_x0000_i1034" type="#_x0000_t75" style="width:252pt;height:162pt;visibility:visible">
            <v:imagedata r:id="rId16" o:title=""/>
          </v:shape>
        </w:pict>
      </w:r>
    </w:p>
    <w:p w:rsidR="009C6EE0" w:rsidRPr="00094BBC" w:rsidRDefault="009C6EE0" w:rsidP="00760BDE">
      <w:pPr>
        <w:adjustRightInd w:val="0"/>
        <w:snapToGrid w:val="0"/>
        <w:spacing w:line="360" w:lineRule="auto"/>
        <w:jc w:val="center"/>
        <w:rPr>
          <w:rFonts w:ascii="仿宋_GB2312" w:eastAsia="仿宋_GB2312"/>
          <w:sz w:val="24"/>
          <w:szCs w:val="24"/>
        </w:rPr>
      </w:pPr>
      <w:r w:rsidRPr="00094BBC">
        <w:rPr>
          <w:rFonts w:ascii="仿宋_GB2312" w:eastAsia="仿宋_GB2312" w:hint="eastAsia"/>
          <w:sz w:val="24"/>
          <w:szCs w:val="24"/>
        </w:rPr>
        <w:t>互动影院环境和装置</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w:t>
      </w:r>
      <w:r w:rsidRPr="00094BBC">
        <w:rPr>
          <w:rFonts w:ascii="仿宋_GB2312" w:eastAsia="仿宋_GB2312"/>
          <w:sz w:val="28"/>
          <w:szCs w:val="28"/>
        </w:rPr>
        <w:t>4</w:t>
      </w:r>
      <w:r w:rsidRPr="00094BBC">
        <w:rPr>
          <w:rFonts w:ascii="仿宋_GB2312" w:eastAsia="仿宋_GB2312" w:hint="eastAsia"/>
          <w:sz w:val="28"/>
          <w:szCs w:val="28"/>
        </w:rPr>
        <w:t>）媒体内容管理与服务平台</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该平台为海量媒体内容特色服务、数字媒体内容交易服务提供支撑。兼顾数据中心与服务功能。已有设备如下：</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核心三层交换机、负载均衡器；数据库服务器集群（</w:t>
      </w:r>
      <w:r w:rsidRPr="00094BBC">
        <w:rPr>
          <w:rFonts w:ascii="仿宋_GB2312" w:eastAsia="仿宋_GB2312"/>
          <w:sz w:val="28"/>
          <w:szCs w:val="28"/>
        </w:rPr>
        <w:t>3</w:t>
      </w:r>
      <w:r w:rsidRPr="00094BBC">
        <w:rPr>
          <w:rFonts w:ascii="仿宋_GB2312" w:eastAsia="仿宋_GB2312" w:hint="eastAsia"/>
          <w:sz w:val="28"/>
          <w:szCs w:val="28"/>
        </w:rPr>
        <w:t>台）；</w:t>
      </w:r>
      <w:r w:rsidRPr="00094BBC">
        <w:rPr>
          <w:rFonts w:ascii="仿宋_GB2312" w:eastAsia="仿宋_GB2312"/>
          <w:sz w:val="28"/>
          <w:szCs w:val="28"/>
        </w:rPr>
        <w:t>4</w:t>
      </w:r>
      <w:r w:rsidRPr="00094BBC">
        <w:rPr>
          <w:rFonts w:ascii="仿宋_GB2312" w:eastAsia="仿宋_GB2312" w:hint="eastAsia"/>
          <w:sz w:val="28"/>
          <w:szCs w:val="28"/>
        </w:rPr>
        <w:t>台应用服务器</w:t>
      </w:r>
      <w:r w:rsidRPr="00094BBC">
        <w:rPr>
          <w:rFonts w:ascii="仿宋_GB2312" w:eastAsia="仿宋_GB2312"/>
          <w:sz w:val="28"/>
          <w:szCs w:val="28"/>
        </w:rPr>
        <w:t>+2</w:t>
      </w:r>
      <w:r w:rsidRPr="00094BBC">
        <w:rPr>
          <w:rFonts w:ascii="仿宋_GB2312" w:eastAsia="仿宋_GB2312" w:hint="eastAsia"/>
          <w:sz w:val="28"/>
          <w:szCs w:val="28"/>
        </w:rPr>
        <w:t>台门户服务器；</w:t>
      </w:r>
      <w:r w:rsidRPr="00094BBC">
        <w:rPr>
          <w:rFonts w:ascii="仿宋_GB2312" w:eastAsia="仿宋_GB2312"/>
          <w:sz w:val="28"/>
          <w:szCs w:val="28"/>
        </w:rPr>
        <w:t>FC SAN</w:t>
      </w:r>
      <w:r w:rsidRPr="00094BBC">
        <w:rPr>
          <w:rFonts w:ascii="仿宋_GB2312" w:eastAsia="仿宋_GB2312" w:hint="eastAsia"/>
          <w:sz w:val="28"/>
          <w:szCs w:val="28"/>
        </w:rPr>
        <w:t>存储</w:t>
      </w:r>
      <w:r w:rsidRPr="00094BBC">
        <w:rPr>
          <w:rFonts w:ascii="仿宋_GB2312" w:eastAsia="仿宋_GB2312"/>
          <w:sz w:val="28"/>
          <w:szCs w:val="28"/>
        </w:rPr>
        <w:t xml:space="preserve"> 20T</w:t>
      </w:r>
    </w:p>
    <w:p w:rsidR="009C6EE0" w:rsidRPr="00094BBC" w:rsidRDefault="009C6EE0" w:rsidP="00833DC7">
      <w:pPr>
        <w:adjustRightInd w:val="0"/>
        <w:snapToGrid w:val="0"/>
        <w:spacing w:line="360" w:lineRule="auto"/>
        <w:ind w:firstLineChars="200" w:firstLine="31680"/>
        <w:jc w:val="center"/>
        <w:rPr>
          <w:rFonts w:ascii="仿宋_GB2312" w:eastAsia="仿宋_GB2312"/>
          <w:sz w:val="28"/>
          <w:szCs w:val="28"/>
        </w:rPr>
      </w:pPr>
      <w:r w:rsidRPr="006C7E65">
        <w:rPr>
          <w:rFonts w:ascii="仿宋_GB2312" w:eastAsia="仿宋_GB2312"/>
          <w:sz w:val="28"/>
          <w:szCs w:val="28"/>
        </w:rPr>
        <w:pict>
          <v:shape id="图片 14" o:spid="_x0000_i1035" type="#_x0000_t75" style="width:239.25pt;height:2in;visibility:visible">
            <v:imagedata r:id="rId17" o:title=""/>
          </v:shape>
        </w:pict>
      </w:r>
    </w:p>
    <w:p w:rsidR="009C6EE0" w:rsidRPr="00094BBC" w:rsidRDefault="009C6EE0" w:rsidP="00833DC7">
      <w:pPr>
        <w:adjustRightInd w:val="0"/>
        <w:snapToGrid w:val="0"/>
        <w:spacing w:line="360" w:lineRule="auto"/>
        <w:ind w:firstLineChars="200" w:firstLine="31680"/>
        <w:jc w:val="center"/>
        <w:rPr>
          <w:rFonts w:ascii="仿宋_GB2312" w:eastAsia="仿宋_GB2312"/>
          <w:sz w:val="24"/>
          <w:szCs w:val="24"/>
        </w:rPr>
      </w:pPr>
      <w:r w:rsidRPr="00094BBC">
        <w:rPr>
          <w:rFonts w:ascii="仿宋_GB2312" w:eastAsia="仿宋_GB2312" w:hint="eastAsia"/>
          <w:sz w:val="24"/>
          <w:szCs w:val="24"/>
        </w:rPr>
        <w:t>服务平台硬件组成架构</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（三）教师队伍建设</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1</w:t>
      </w:r>
      <w:r w:rsidRPr="00094BBC">
        <w:rPr>
          <w:rFonts w:ascii="黑体" w:eastAsia="黑体" w:hAnsi="黑体" w:cs="仿宋_GB2312" w:hint="eastAsia"/>
          <w:b/>
          <w:bCs/>
          <w:sz w:val="28"/>
          <w:szCs w:val="24"/>
        </w:rPr>
        <w:t>．师资队伍数量及结构</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数字媒体专业师资力量雄厚、学术实力强劲，已成为山东大学优势突出、特色鲜明的专业之一。目前，该专业拥有专任教师</w:t>
      </w:r>
      <w:r w:rsidRPr="00094BBC">
        <w:rPr>
          <w:rFonts w:ascii="仿宋_GB2312" w:eastAsia="仿宋_GB2312"/>
          <w:sz w:val="28"/>
          <w:szCs w:val="28"/>
        </w:rPr>
        <w:t>19</w:t>
      </w:r>
      <w:r w:rsidRPr="00094BBC">
        <w:rPr>
          <w:rFonts w:ascii="仿宋_GB2312" w:eastAsia="仿宋_GB2312" w:hint="eastAsia"/>
          <w:sz w:val="28"/>
          <w:szCs w:val="28"/>
        </w:rPr>
        <w:t>名，</w:t>
      </w:r>
      <w:r w:rsidRPr="00094BBC">
        <w:rPr>
          <w:rFonts w:ascii="仿宋_GB2312" w:eastAsia="仿宋_GB2312"/>
          <w:sz w:val="28"/>
          <w:szCs w:val="28"/>
        </w:rPr>
        <w:t>50</w:t>
      </w:r>
      <w:r w:rsidRPr="00094BBC">
        <w:rPr>
          <w:rFonts w:ascii="仿宋_GB2312" w:eastAsia="仿宋_GB2312" w:hint="eastAsia"/>
          <w:sz w:val="28"/>
          <w:szCs w:val="28"/>
        </w:rPr>
        <w:t>％以上的教师具有企业应用开发背景。在专任教师中，具有高级职称教师</w:t>
      </w:r>
      <w:r w:rsidRPr="00094BBC">
        <w:rPr>
          <w:rFonts w:ascii="仿宋_GB2312" w:eastAsia="仿宋_GB2312"/>
          <w:sz w:val="28"/>
          <w:szCs w:val="28"/>
        </w:rPr>
        <w:t>18</w:t>
      </w:r>
      <w:r w:rsidRPr="00094BBC">
        <w:rPr>
          <w:rFonts w:ascii="仿宋_GB2312" w:eastAsia="仿宋_GB2312" w:hint="eastAsia"/>
          <w:sz w:val="28"/>
          <w:szCs w:val="28"/>
        </w:rPr>
        <w:t>名，占专任教师总数的</w:t>
      </w:r>
      <w:r w:rsidRPr="00094BBC">
        <w:rPr>
          <w:rFonts w:ascii="仿宋_GB2312" w:eastAsia="仿宋_GB2312"/>
          <w:sz w:val="28"/>
          <w:szCs w:val="28"/>
        </w:rPr>
        <w:t>94.7%</w:t>
      </w:r>
      <w:r w:rsidRPr="00094BBC">
        <w:rPr>
          <w:rFonts w:ascii="仿宋_GB2312" w:eastAsia="仿宋_GB2312" w:hint="eastAsia"/>
          <w:sz w:val="28"/>
          <w:szCs w:val="28"/>
        </w:rPr>
        <w:t>。从学历结构和学位结构上看，</w:t>
      </w:r>
      <w:r w:rsidRPr="00094BBC">
        <w:rPr>
          <w:rFonts w:ascii="仿宋_GB2312" w:eastAsia="仿宋_GB2312"/>
          <w:sz w:val="28"/>
          <w:szCs w:val="28"/>
        </w:rPr>
        <w:t>19</w:t>
      </w:r>
      <w:r w:rsidRPr="00094BBC">
        <w:rPr>
          <w:rFonts w:ascii="仿宋_GB2312" w:eastAsia="仿宋_GB2312" w:hint="eastAsia"/>
          <w:sz w:val="28"/>
          <w:szCs w:val="28"/>
        </w:rPr>
        <w:t>名教师</w:t>
      </w:r>
      <w:r w:rsidRPr="00094BBC">
        <w:rPr>
          <w:rFonts w:ascii="仿宋_GB2312" w:eastAsia="仿宋_GB2312"/>
          <w:sz w:val="28"/>
          <w:szCs w:val="28"/>
        </w:rPr>
        <w:t>100%</w:t>
      </w:r>
      <w:r w:rsidRPr="00094BBC">
        <w:rPr>
          <w:rFonts w:ascii="仿宋_GB2312" w:eastAsia="仿宋_GB2312" w:hint="eastAsia"/>
          <w:sz w:val="28"/>
          <w:szCs w:val="28"/>
        </w:rPr>
        <w:t>拥有研究生学历和博士学位。在年龄结构上，</w:t>
      </w:r>
      <w:r w:rsidRPr="00094BBC">
        <w:rPr>
          <w:rFonts w:ascii="仿宋_GB2312" w:eastAsia="仿宋_GB2312"/>
          <w:sz w:val="28"/>
          <w:szCs w:val="28"/>
        </w:rPr>
        <w:t>34</w:t>
      </w:r>
      <w:r w:rsidRPr="00094BBC">
        <w:rPr>
          <w:rFonts w:ascii="仿宋_GB2312" w:eastAsia="仿宋_GB2312" w:hint="eastAsia"/>
          <w:sz w:val="28"/>
          <w:szCs w:val="28"/>
        </w:rPr>
        <w:t>岁以下、</w:t>
      </w:r>
      <w:r w:rsidRPr="00094BBC">
        <w:rPr>
          <w:rFonts w:ascii="仿宋_GB2312" w:eastAsia="仿宋_GB2312"/>
          <w:sz w:val="28"/>
          <w:szCs w:val="28"/>
        </w:rPr>
        <w:t>35</w:t>
      </w:r>
      <w:r w:rsidRPr="00094BBC">
        <w:rPr>
          <w:rFonts w:ascii="仿宋_GB2312" w:eastAsia="仿宋_GB2312" w:hint="eastAsia"/>
          <w:sz w:val="28"/>
          <w:szCs w:val="28"/>
        </w:rPr>
        <w:t>岁</w:t>
      </w:r>
      <w:r w:rsidRPr="00094BBC">
        <w:rPr>
          <w:rFonts w:ascii="仿宋_GB2312" w:eastAsia="仿宋_GB2312"/>
          <w:sz w:val="28"/>
          <w:szCs w:val="28"/>
        </w:rPr>
        <w:t>—</w:t>
      </w:r>
      <w:r w:rsidRPr="00094BBC">
        <w:rPr>
          <w:rFonts w:ascii="仿宋_GB2312" w:eastAsia="仿宋_GB2312"/>
          <w:sz w:val="28"/>
          <w:szCs w:val="28"/>
        </w:rPr>
        <w:t>50</w:t>
      </w:r>
      <w:r w:rsidRPr="00094BBC">
        <w:rPr>
          <w:rFonts w:ascii="仿宋_GB2312" w:eastAsia="仿宋_GB2312" w:hint="eastAsia"/>
          <w:sz w:val="28"/>
          <w:szCs w:val="28"/>
        </w:rPr>
        <w:t>岁、</w:t>
      </w:r>
      <w:r w:rsidRPr="00094BBC">
        <w:rPr>
          <w:rFonts w:ascii="仿宋_GB2312" w:eastAsia="仿宋_GB2312"/>
          <w:sz w:val="28"/>
          <w:szCs w:val="28"/>
        </w:rPr>
        <w:t>51</w:t>
      </w:r>
      <w:r w:rsidRPr="00094BBC">
        <w:rPr>
          <w:rFonts w:ascii="仿宋_GB2312" w:eastAsia="仿宋_GB2312" w:hint="eastAsia"/>
          <w:sz w:val="28"/>
          <w:szCs w:val="28"/>
        </w:rPr>
        <w:t>岁以上的教师人数分别为</w:t>
      </w:r>
      <w:r w:rsidRPr="00094BBC">
        <w:rPr>
          <w:rFonts w:ascii="仿宋_GB2312" w:eastAsia="仿宋_GB2312"/>
          <w:sz w:val="28"/>
          <w:szCs w:val="28"/>
        </w:rPr>
        <w:t>5</w:t>
      </w:r>
      <w:r w:rsidRPr="00094BBC">
        <w:rPr>
          <w:rFonts w:ascii="仿宋_GB2312" w:eastAsia="仿宋_GB2312" w:hint="eastAsia"/>
          <w:sz w:val="28"/>
          <w:szCs w:val="28"/>
        </w:rPr>
        <w:t>人、</w:t>
      </w:r>
      <w:r w:rsidRPr="00094BBC">
        <w:rPr>
          <w:rFonts w:ascii="仿宋_GB2312" w:eastAsia="仿宋_GB2312"/>
          <w:sz w:val="28"/>
          <w:szCs w:val="28"/>
        </w:rPr>
        <w:t>11</w:t>
      </w:r>
      <w:r w:rsidRPr="00094BBC">
        <w:rPr>
          <w:rFonts w:ascii="仿宋_GB2312" w:eastAsia="仿宋_GB2312" w:hint="eastAsia"/>
          <w:sz w:val="28"/>
          <w:szCs w:val="28"/>
        </w:rPr>
        <w:t>人、</w:t>
      </w:r>
      <w:r w:rsidRPr="00094BBC">
        <w:rPr>
          <w:rFonts w:ascii="仿宋_GB2312" w:eastAsia="仿宋_GB2312"/>
          <w:sz w:val="28"/>
          <w:szCs w:val="28"/>
        </w:rPr>
        <w:t>3</w:t>
      </w:r>
      <w:r w:rsidRPr="00094BBC">
        <w:rPr>
          <w:rFonts w:ascii="仿宋_GB2312" w:eastAsia="仿宋_GB2312" w:hint="eastAsia"/>
          <w:sz w:val="28"/>
          <w:szCs w:val="28"/>
        </w:rPr>
        <w:t>人，所占比例分别为</w:t>
      </w:r>
      <w:r w:rsidRPr="00094BBC">
        <w:rPr>
          <w:rFonts w:ascii="仿宋_GB2312" w:eastAsia="仿宋_GB2312"/>
          <w:sz w:val="28"/>
          <w:szCs w:val="28"/>
        </w:rPr>
        <w:t>26.3%</w:t>
      </w:r>
      <w:r w:rsidRPr="00094BBC">
        <w:rPr>
          <w:rFonts w:ascii="仿宋_GB2312" w:eastAsia="仿宋_GB2312" w:hint="eastAsia"/>
          <w:sz w:val="28"/>
          <w:szCs w:val="28"/>
        </w:rPr>
        <w:t>、</w:t>
      </w:r>
      <w:r w:rsidRPr="00094BBC">
        <w:rPr>
          <w:rFonts w:ascii="仿宋_GB2312" w:eastAsia="仿宋_GB2312"/>
          <w:sz w:val="28"/>
          <w:szCs w:val="28"/>
        </w:rPr>
        <w:t>57.9%</w:t>
      </w:r>
      <w:r w:rsidRPr="00094BBC">
        <w:rPr>
          <w:rFonts w:ascii="仿宋_GB2312" w:eastAsia="仿宋_GB2312" w:hint="eastAsia"/>
          <w:sz w:val="28"/>
          <w:szCs w:val="28"/>
        </w:rPr>
        <w:t>、</w:t>
      </w:r>
      <w:r w:rsidRPr="00094BBC">
        <w:rPr>
          <w:rFonts w:ascii="仿宋_GB2312" w:eastAsia="仿宋_GB2312"/>
          <w:sz w:val="28"/>
          <w:szCs w:val="28"/>
        </w:rPr>
        <w:t>15.8%</w:t>
      </w:r>
      <w:r w:rsidRPr="00094BBC">
        <w:rPr>
          <w:rFonts w:ascii="仿宋_GB2312" w:eastAsia="仿宋_GB2312" w:hint="eastAsia"/>
          <w:sz w:val="28"/>
          <w:szCs w:val="28"/>
        </w:rPr>
        <w:t>，年龄结构合理。本专业教师绝大多数为中青年，中青年教师学术思想活跃，学术水平高，发展潜力大，发表高水平论文数量、承担国家级科研项目、经费额度等在学院都占有绝对优势。</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2</w:t>
      </w:r>
      <w:r w:rsidRPr="00094BBC">
        <w:rPr>
          <w:rFonts w:ascii="黑体" w:eastAsia="黑体" w:hAnsi="黑体" w:cs="仿宋_GB2312" w:hint="eastAsia"/>
          <w:b/>
          <w:bCs/>
          <w:sz w:val="28"/>
          <w:szCs w:val="24"/>
        </w:rPr>
        <w:t>、人才队伍建设情况</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软件学院经过多年的建设，形成了一支由陈宝权教授为学术带头人、老中青教授结合的高水平人才梯队。学院实行预聘制教师聘任机制，加大海外人才引进力度，引进</w:t>
      </w:r>
      <w:r w:rsidRPr="00094BBC">
        <w:rPr>
          <w:rFonts w:ascii="仿宋_GB2312" w:eastAsia="仿宋_GB2312"/>
          <w:sz w:val="28"/>
          <w:szCs w:val="28"/>
        </w:rPr>
        <w:t>3-5</w:t>
      </w:r>
      <w:r w:rsidRPr="00094BBC">
        <w:rPr>
          <w:rFonts w:ascii="仿宋_GB2312" w:eastAsia="仿宋_GB2312" w:hint="eastAsia"/>
          <w:sz w:val="28"/>
          <w:szCs w:val="28"/>
        </w:rPr>
        <w:t>名在国外取得博士学位或进行过博士后研究的优秀人才，聘请外籍教师开设英语口语、写作等课程，优化教学团队。半数以上的教师具有企业应用开发背景，他们既有良好理论基础，又有丰富的实际项目开发经验，将国际最新软件技术，先进的软件项目管理理念及时融入到培养过程中。同时，学院注重年轻教师的培养，为青年教师提供国外进修和留学机会，派中青年教师到国内大型企业进行工程实践学习和锻炼，学科队伍力量不断得到提升和加强。</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软件学院院长陈宝权教授是国家杰出青年基金获得者，入选为国家百千万人才工程，被评为国家突出贡献中青年专家、国家中青年科技创新领军人才，被列入中科院</w:t>
      </w:r>
      <w:r w:rsidRPr="00094BBC">
        <w:rPr>
          <w:rFonts w:ascii="仿宋_GB2312" w:eastAsia="仿宋_GB2312"/>
          <w:sz w:val="28"/>
          <w:szCs w:val="28"/>
        </w:rPr>
        <w:t>“</w:t>
      </w:r>
      <w:r w:rsidRPr="00094BBC">
        <w:rPr>
          <w:rFonts w:ascii="仿宋_GB2312" w:eastAsia="仿宋_GB2312" w:hint="eastAsia"/>
          <w:sz w:val="28"/>
          <w:szCs w:val="28"/>
        </w:rPr>
        <w:t>百人计划</w:t>
      </w:r>
      <w:r w:rsidRPr="00094BBC">
        <w:rPr>
          <w:rFonts w:ascii="仿宋_GB2312" w:eastAsia="仿宋_GB2312"/>
          <w:sz w:val="28"/>
          <w:szCs w:val="28"/>
        </w:rPr>
        <w:t>”</w:t>
      </w:r>
      <w:r w:rsidRPr="00094BBC">
        <w:rPr>
          <w:rFonts w:ascii="仿宋_GB2312" w:eastAsia="仿宋_GB2312" w:hint="eastAsia"/>
          <w:sz w:val="28"/>
          <w:szCs w:val="28"/>
        </w:rPr>
        <w:t>，入选长江学者奖励计划。孟祥旭教授获评为泰山学者特聘教授。禹晓辉教授、尹义龙教授、彭京亮教授入选教育部</w:t>
      </w:r>
      <w:r w:rsidRPr="00094BBC">
        <w:rPr>
          <w:rFonts w:ascii="仿宋_GB2312" w:eastAsia="仿宋_GB2312"/>
          <w:sz w:val="28"/>
          <w:szCs w:val="28"/>
        </w:rPr>
        <w:t>“</w:t>
      </w:r>
      <w:r w:rsidRPr="00094BBC">
        <w:rPr>
          <w:rFonts w:ascii="仿宋_GB2312" w:eastAsia="仿宋_GB2312" w:hint="eastAsia"/>
          <w:sz w:val="28"/>
          <w:szCs w:val="28"/>
        </w:rPr>
        <w:t>新世纪优秀人才支持计划</w:t>
      </w:r>
      <w:r w:rsidRPr="00094BBC">
        <w:rPr>
          <w:rFonts w:ascii="仿宋_GB2312" w:eastAsia="仿宋_GB2312"/>
          <w:sz w:val="28"/>
          <w:szCs w:val="28"/>
        </w:rPr>
        <w:t>”</w:t>
      </w:r>
      <w:r w:rsidRPr="00094BBC">
        <w:rPr>
          <w:rFonts w:ascii="仿宋_GB2312" w:eastAsia="仿宋_GB2312" w:hint="eastAsia"/>
          <w:sz w:val="28"/>
          <w:szCs w:val="28"/>
        </w:rPr>
        <w:t>，同时，禹晓辉教授入选山东省引进海外高层次人才</w:t>
      </w:r>
      <w:r w:rsidRPr="00094BBC">
        <w:rPr>
          <w:rFonts w:ascii="仿宋_GB2312" w:eastAsia="仿宋_GB2312"/>
          <w:sz w:val="28"/>
          <w:szCs w:val="28"/>
        </w:rPr>
        <w:t>“</w:t>
      </w:r>
      <w:r w:rsidRPr="00094BBC">
        <w:rPr>
          <w:rFonts w:ascii="仿宋_GB2312" w:eastAsia="仿宋_GB2312" w:hint="eastAsia"/>
          <w:sz w:val="28"/>
          <w:szCs w:val="28"/>
        </w:rPr>
        <w:t>万人计划</w:t>
      </w:r>
      <w:r w:rsidRPr="00094BBC">
        <w:rPr>
          <w:rFonts w:ascii="仿宋_GB2312" w:eastAsia="仿宋_GB2312"/>
          <w:sz w:val="28"/>
          <w:szCs w:val="28"/>
        </w:rPr>
        <w:t>”</w:t>
      </w:r>
      <w:r w:rsidRPr="00094BBC">
        <w:rPr>
          <w:rFonts w:ascii="仿宋_GB2312" w:eastAsia="仿宋_GB2312" w:hint="eastAsia"/>
          <w:sz w:val="28"/>
          <w:szCs w:val="28"/>
        </w:rPr>
        <w:t>第一层次，被聘为</w:t>
      </w:r>
      <w:hyperlink r:id="rId18" w:tgtFrame="_blank" w:history="1">
        <w:r w:rsidRPr="00094BBC">
          <w:rPr>
            <w:rFonts w:ascii="仿宋_GB2312" w:eastAsia="仿宋_GB2312" w:hint="eastAsia"/>
            <w:sz w:val="28"/>
            <w:szCs w:val="28"/>
          </w:rPr>
          <w:t>泰山学者</w:t>
        </w:r>
      </w:hyperlink>
      <w:r w:rsidRPr="00094BBC">
        <w:rPr>
          <w:rFonts w:ascii="仿宋_GB2312" w:eastAsia="仿宋_GB2312" w:hint="eastAsia"/>
          <w:sz w:val="28"/>
          <w:szCs w:val="28"/>
        </w:rPr>
        <w:t>海外特聘专家。郝兴伟教授获得</w:t>
      </w:r>
      <w:r w:rsidRPr="00094BBC">
        <w:rPr>
          <w:rFonts w:ascii="仿宋_GB2312" w:eastAsia="仿宋_GB2312"/>
          <w:sz w:val="28"/>
          <w:szCs w:val="28"/>
        </w:rPr>
        <w:t>"</w:t>
      </w:r>
      <w:r w:rsidRPr="00094BBC">
        <w:rPr>
          <w:rFonts w:ascii="仿宋_GB2312" w:eastAsia="仿宋_GB2312" w:hint="eastAsia"/>
          <w:sz w:val="28"/>
          <w:szCs w:val="28"/>
        </w:rPr>
        <w:t>山东省教学名师</w:t>
      </w:r>
      <w:r w:rsidRPr="00094BBC">
        <w:rPr>
          <w:rFonts w:ascii="仿宋_GB2312" w:eastAsia="仿宋_GB2312"/>
          <w:sz w:val="28"/>
          <w:szCs w:val="28"/>
        </w:rPr>
        <w:t>"</w:t>
      </w:r>
      <w:r w:rsidRPr="00094BBC">
        <w:rPr>
          <w:rFonts w:ascii="仿宋_GB2312" w:eastAsia="仿宋_GB2312" w:hint="eastAsia"/>
          <w:sz w:val="28"/>
          <w:szCs w:val="28"/>
        </w:rPr>
        <w:t>荣誉称号，青年教师王璐、钟凡获山东大学“未来学者”称号。青年教师姜海涛、吕琳获得第二批“山东大学青年学者未来计划”培养人选。</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b/>
          <w:bCs/>
          <w:sz w:val="28"/>
          <w:szCs w:val="24"/>
        </w:rPr>
        <w:t>3</w:t>
      </w:r>
      <w:r w:rsidRPr="00094BBC">
        <w:rPr>
          <w:rFonts w:ascii="黑体" w:eastAsia="黑体" w:hAnsi="黑体" w:cs="仿宋_GB2312" w:hint="eastAsia"/>
          <w:b/>
          <w:bCs/>
          <w:sz w:val="28"/>
          <w:szCs w:val="24"/>
        </w:rPr>
        <w:t>．教师获奖情况</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近年来，数字媒体专业在取得基础研究成果的同时，注重面向国家实际需求进行科学研究和技术研发，取得了多项国家和省部级优秀科研成果。</w:t>
      </w:r>
    </w:p>
    <w:p w:rsidR="009C6EE0" w:rsidRPr="00094BBC" w:rsidRDefault="009C6EE0" w:rsidP="00833DC7">
      <w:pPr>
        <w:ind w:firstLineChars="150" w:firstLine="31680"/>
        <w:rPr>
          <w:rFonts w:ascii="仿宋_GB2312" w:eastAsia="仿宋_GB2312" w:hAnsi="宋体" w:cs="宋体"/>
          <w:kern w:val="0"/>
          <w:sz w:val="28"/>
          <w:szCs w:val="28"/>
        </w:rPr>
      </w:pPr>
      <w:r w:rsidRPr="00094BBC">
        <w:rPr>
          <w:rFonts w:ascii="仿宋_GB2312" w:eastAsia="仿宋_GB2312" w:hint="eastAsia"/>
          <w:sz w:val="28"/>
          <w:szCs w:val="28"/>
        </w:rPr>
        <w:t>崔立真教授主要完成的“电力需求侧管理智能主站系统”项目获教育部科技进步二等奖，他的“支持多行业的职业资格服务及运营平台”项目获山东省科技进步二等奖。他的“</w:t>
      </w:r>
      <w:r w:rsidRPr="00094BBC">
        <w:rPr>
          <w:rFonts w:ascii="仿宋_GB2312" w:eastAsia="仿宋_GB2312" w:hAnsi="宋体" w:cs="宋体" w:hint="eastAsia"/>
          <w:kern w:val="0"/>
          <w:sz w:val="28"/>
          <w:szCs w:val="28"/>
        </w:rPr>
        <w:t>软件工程专业实践能力培养与创新创业一体化平台建设”获山东大学教育教学综合改革项目重大立项。他的“互联网</w:t>
      </w:r>
      <w:r w:rsidRPr="00094BBC">
        <w:rPr>
          <w:rFonts w:ascii="仿宋_GB2312" w:eastAsia="仿宋_GB2312" w:hAnsi="宋体" w:cs="宋体"/>
          <w:kern w:val="0"/>
          <w:sz w:val="28"/>
          <w:szCs w:val="28"/>
        </w:rPr>
        <w:t>+</w:t>
      </w:r>
      <w:r w:rsidRPr="00094BBC">
        <w:rPr>
          <w:rFonts w:ascii="仿宋_GB2312" w:eastAsia="仿宋_GB2312" w:hAnsi="宋体" w:cs="宋体" w:hint="eastAsia"/>
          <w:kern w:val="0"/>
          <w:sz w:val="28"/>
          <w:szCs w:val="28"/>
        </w:rPr>
        <w:t>创新创业能力培养一体化平台建设”项目获腾讯公司联合项目支持</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孟祥旭教授主要完成的“中国教育科研网络”获得国家科技进步二等奖。张彩明教授主要完成的“大规模动态场景中海量数据的远程可视化及系统实现”</w:t>
      </w:r>
      <w:r w:rsidRPr="00094BBC">
        <w:rPr>
          <w:rFonts w:ascii="仿宋_GB2312" w:eastAsia="仿宋_GB2312"/>
          <w:sz w:val="28"/>
          <w:szCs w:val="28"/>
        </w:rPr>
        <w:t xml:space="preserve"> </w:t>
      </w:r>
      <w:r w:rsidRPr="00094BBC">
        <w:rPr>
          <w:rFonts w:ascii="仿宋_GB2312" w:eastAsia="仿宋_GB2312" w:hint="eastAsia"/>
          <w:sz w:val="28"/>
          <w:szCs w:val="28"/>
        </w:rPr>
        <w:t>获山东省科技进步二等奖。尹义龙教授的“指纹识别核心技术及产品研发与应用”</w:t>
      </w:r>
      <w:r w:rsidRPr="00094BBC">
        <w:rPr>
          <w:rFonts w:ascii="仿宋_GB2312" w:eastAsia="仿宋_GB2312"/>
          <w:sz w:val="28"/>
          <w:szCs w:val="28"/>
        </w:rPr>
        <w:t xml:space="preserve"> </w:t>
      </w:r>
      <w:r w:rsidRPr="00094BBC">
        <w:rPr>
          <w:rFonts w:ascii="仿宋_GB2312" w:eastAsia="仿宋_GB2312" w:hint="eastAsia"/>
          <w:sz w:val="28"/>
          <w:szCs w:val="28"/>
        </w:rPr>
        <w:t>获山东省科技进步二等奖。龚斌教授主要完成的“科学与工程计算应用网格”获山东省科技进步二等奖。由孟祥旭、龚斌、刘士军共同完成的“山东省制造业信息化关键技术攻关及应用工程”获山东省科技进步二等奖。</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校企合作下的软件人才培养体系研究与实践”获山东省教学成果二等奖；“基于网络的计算机基础教学过程管理研究与实践”和“面向学生应用能力与计算思维综合培养的计算机基础教学内容改革与教材建设”获山东省教学成果三等奖；“嵌入式系统专业创新人才培养改革与实践”获山东大学教学成果二等奖。</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张彩明教授获宝钢优秀教师奖，刘辉教授、张立群教授等多次获</w:t>
      </w:r>
      <w:r w:rsidRPr="00094BBC">
        <w:rPr>
          <w:rFonts w:ascii="仿宋_GB2312" w:eastAsia="仿宋_GB2312"/>
          <w:sz w:val="28"/>
          <w:szCs w:val="28"/>
        </w:rPr>
        <w:t>IBM</w:t>
      </w:r>
      <w:r w:rsidRPr="00094BBC">
        <w:rPr>
          <w:rFonts w:ascii="仿宋_GB2312" w:eastAsia="仿宋_GB2312" w:hint="eastAsia"/>
          <w:sz w:val="28"/>
          <w:szCs w:val="28"/>
        </w:rPr>
        <w:t>教奖金。</w:t>
      </w:r>
    </w:p>
    <w:p w:rsidR="009C6EE0" w:rsidRPr="00094BBC" w:rsidRDefault="009C6EE0" w:rsidP="00833DC7">
      <w:pPr>
        <w:ind w:firstLineChars="200" w:firstLine="31680"/>
        <w:rPr>
          <w:rFonts w:ascii="仿宋_GB2312" w:eastAsia="仿宋_GB2312" w:cs="Arial"/>
          <w:sz w:val="28"/>
          <w:szCs w:val="28"/>
        </w:rPr>
      </w:pPr>
      <w:r w:rsidRPr="00094BBC">
        <w:rPr>
          <w:rFonts w:ascii="仿宋_GB2312" w:eastAsia="仿宋_GB2312" w:hint="eastAsia"/>
          <w:sz w:val="28"/>
          <w:szCs w:val="28"/>
        </w:rPr>
        <w:t>鹿旭东老师获评“</w:t>
      </w:r>
      <w:r w:rsidRPr="00094BBC">
        <w:rPr>
          <w:rFonts w:ascii="仿宋_GB2312" w:eastAsia="仿宋_GB2312" w:cs="Arial" w:hint="eastAsia"/>
          <w:sz w:val="28"/>
          <w:szCs w:val="28"/>
        </w:rPr>
        <w:t>山东大学</w:t>
      </w:r>
      <w:r w:rsidRPr="00094BBC">
        <w:rPr>
          <w:rFonts w:ascii="仿宋_GB2312" w:eastAsia="仿宋_GB2312" w:cs="Arial"/>
          <w:sz w:val="28"/>
          <w:szCs w:val="28"/>
        </w:rPr>
        <w:t>2016</w:t>
      </w:r>
      <w:r w:rsidRPr="00094BBC">
        <w:rPr>
          <w:rFonts w:ascii="仿宋_GB2312" w:eastAsia="仿宋_GB2312" w:cs="Arial" w:hint="eastAsia"/>
          <w:sz w:val="28"/>
          <w:szCs w:val="28"/>
        </w:rPr>
        <w:t>年度‘我最喜爱的老师’”荣誉称号。</w:t>
      </w:r>
    </w:p>
    <w:p w:rsidR="009C6EE0" w:rsidRPr="00094BBC" w:rsidRDefault="009C6EE0" w:rsidP="00833DC7">
      <w:pPr>
        <w:ind w:firstLineChars="200" w:firstLine="31680"/>
        <w:rPr>
          <w:rFonts w:ascii="仿宋_GB2312" w:eastAsia="仿宋_GB2312" w:hAnsi="宋体" w:cs="宋体"/>
          <w:sz w:val="28"/>
          <w:szCs w:val="28"/>
        </w:rPr>
      </w:pPr>
      <w:r w:rsidRPr="00094BBC">
        <w:rPr>
          <w:rFonts w:ascii="仿宋_GB2312" w:eastAsia="仿宋_GB2312" w:cs="Arial" w:hint="eastAsia"/>
          <w:sz w:val="28"/>
          <w:szCs w:val="28"/>
        </w:rPr>
        <w:t>彭朝晖副教授获评“山东大学</w:t>
      </w:r>
      <w:r w:rsidRPr="00094BBC">
        <w:rPr>
          <w:rFonts w:ascii="仿宋_GB2312" w:eastAsia="仿宋_GB2312" w:cs="Arial"/>
          <w:sz w:val="28"/>
          <w:szCs w:val="28"/>
        </w:rPr>
        <w:t>2016</w:t>
      </w:r>
      <w:r w:rsidRPr="00094BBC">
        <w:rPr>
          <w:rFonts w:ascii="仿宋_GB2312" w:eastAsia="仿宋_GB2312" w:cs="Arial" w:hint="eastAsia"/>
          <w:sz w:val="28"/>
          <w:szCs w:val="28"/>
        </w:rPr>
        <w:t>年度‘我最喜爱的老师’”荣誉称号，“</w:t>
      </w:r>
      <w:r w:rsidRPr="00094BBC">
        <w:rPr>
          <w:rFonts w:ascii="仿宋_GB2312" w:eastAsia="仿宋_GB2312" w:cs="Arial"/>
          <w:sz w:val="28"/>
          <w:szCs w:val="28"/>
        </w:rPr>
        <w:t>2015-2016</w:t>
      </w:r>
      <w:r w:rsidRPr="00094BBC">
        <w:rPr>
          <w:rFonts w:ascii="仿宋_GB2312" w:eastAsia="仿宋_GB2312" w:cs="Arial" w:hint="eastAsia"/>
          <w:sz w:val="28"/>
          <w:szCs w:val="28"/>
        </w:rPr>
        <w:t>学年青年教师课堂比赛”一等奖，他的“</w:t>
      </w:r>
      <w:r w:rsidRPr="00094BBC">
        <w:rPr>
          <w:rFonts w:ascii="仿宋_GB2312" w:eastAsia="仿宋_GB2312" w:hint="eastAsia"/>
          <w:sz w:val="28"/>
          <w:szCs w:val="28"/>
        </w:rPr>
        <w:t>面向产业需求的工程类电子商务专业人才培养体系的构建与实践”</w:t>
      </w:r>
      <w:r w:rsidRPr="00094BBC">
        <w:rPr>
          <w:rFonts w:ascii="仿宋_GB2312" w:eastAsia="仿宋_GB2312" w:hAnsi="宋体" w:cs="宋体"/>
          <w:kern w:val="0"/>
          <w:sz w:val="28"/>
          <w:szCs w:val="28"/>
        </w:rPr>
        <w:t xml:space="preserve"> </w:t>
      </w:r>
      <w:r w:rsidRPr="00094BBC">
        <w:rPr>
          <w:rFonts w:ascii="仿宋_GB2312" w:eastAsia="仿宋_GB2312" w:hAnsi="宋体" w:cs="宋体" w:hint="eastAsia"/>
          <w:kern w:val="0"/>
          <w:sz w:val="28"/>
          <w:szCs w:val="28"/>
        </w:rPr>
        <w:t>获山东大学教育教学综合改革项目重点立项。</w:t>
      </w:r>
    </w:p>
    <w:p w:rsidR="009C6EE0" w:rsidRPr="00094BBC" w:rsidRDefault="009C6EE0" w:rsidP="00833DC7">
      <w:pPr>
        <w:adjustRightInd w:val="0"/>
        <w:snapToGrid w:val="0"/>
        <w:spacing w:beforeLines="50" w:line="360" w:lineRule="auto"/>
        <w:ind w:firstLineChars="150" w:firstLine="31680"/>
        <w:rPr>
          <w:rFonts w:ascii="黑体" w:eastAsia="黑体" w:hAnsi="黑体" w:cs="仿宋_GB2312"/>
          <w:b/>
          <w:bCs/>
          <w:sz w:val="28"/>
          <w:szCs w:val="24"/>
        </w:rPr>
      </w:pPr>
      <w:r w:rsidRPr="00094BBC">
        <w:rPr>
          <w:rFonts w:ascii="黑体" w:eastAsia="黑体" w:hAnsi="黑体" w:cs="仿宋_GB2312"/>
          <w:b/>
          <w:bCs/>
          <w:sz w:val="28"/>
          <w:szCs w:val="24"/>
        </w:rPr>
        <w:t>4</w:t>
      </w:r>
      <w:r w:rsidRPr="00094BBC">
        <w:rPr>
          <w:rFonts w:ascii="黑体" w:eastAsia="黑体" w:hAnsi="黑体" w:cs="仿宋_GB2312" w:hint="eastAsia"/>
          <w:b/>
          <w:bCs/>
          <w:sz w:val="28"/>
          <w:szCs w:val="24"/>
        </w:rPr>
        <w:t>．教学研讨及研修活动</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教学研讨方面，每个学期在开学、期中、期末定期举办</w:t>
      </w:r>
      <w:r w:rsidRPr="00094BBC">
        <w:rPr>
          <w:rFonts w:ascii="仿宋_GB2312" w:eastAsia="仿宋_GB2312"/>
          <w:sz w:val="28"/>
          <w:szCs w:val="28"/>
        </w:rPr>
        <w:t>3</w:t>
      </w:r>
      <w:r w:rsidRPr="00094BBC">
        <w:rPr>
          <w:rFonts w:ascii="仿宋_GB2312" w:eastAsia="仿宋_GB2312" w:hint="eastAsia"/>
          <w:sz w:val="28"/>
          <w:szCs w:val="28"/>
        </w:rPr>
        <w:t>次全员老师的教学研讨，邀请企业协同育人单位共同参与，针对市场的人才需求及时调整课程内容和教学方式，积极鼓励老师申报各类产学研教学综合改革项目。同时组织师生见面会，及时收集一手的学生反馈，进行持续改进。</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软件学院为不断更新任课老师的专业知识，提高业务能力，积极为他们创造对外交流和学习的机会，鼓励他们及时了解和掌握国内外最新的技术和科技动态，推进人才队伍整体建设。学院组织多次教学研讨及研修活动，鼓励专业青年骨干教师到跨国公司研修。专任教师中，闫中敏、孔兰菊、崔立真、刘士军、冯好娣等均参加过相关国际交流访学活动，交流学校覆盖加利福尼亚大学、纽约州立大学、哈弗大学、佐治亚理工等国外名校。</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（四）实习基地建设</w:t>
      </w:r>
    </w:p>
    <w:p w:rsidR="009C6EE0" w:rsidRPr="00094BBC" w:rsidRDefault="009C6EE0" w:rsidP="00833DC7">
      <w:pPr>
        <w:pStyle w:val="CM6"/>
        <w:spacing w:line="360" w:lineRule="auto"/>
        <w:ind w:right="119" w:firstLineChars="200" w:firstLine="31680"/>
        <w:rPr>
          <w:rFonts w:ascii="仿宋_GB2312" w:eastAsia="仿宋_GB2312" w:cs="Times New Roman"/>
          <w:kern w:val="2"/>
          <w:sz w:val="28"/>
          <w:szCs w:val="28"/>
        </w:rPr>
      </w:pPr>
      <w:r w:rsidRPr="00094BBC">
        <w:rPr>
          <w:rFonts w:ascii="仿宋_GB2312" w:eastAsia="仿宋_GB2312" w:cs="Times New Roman" w:hint="eastAsia"/>
          <w:kern w:val="2"/>
          <w:sz w:val="28"/>
          <w:szCs w:val="28"/>
        </w:rPr>
        <w:t>为强化</w:t>
      </w:r>
      <w:r w:rsidRPr="00094BBC">
        <w:rPr>
          <w:rFonts w:ascii="仿宋_GB2312" w:eastAsia="仿宋_GB2312" w:cs="Times New Roman"/>
          <w:kern w:val="2"/>
          <w:sz w:val="28"/>
          <w:szCs w:val="28"/>
        </w:rPr>
        <w:t>“</w:t>
      </w:r>
      <w:r w:rsidRPr="00094BBC">
        <w:rPr>
          <w:rFonts w:ascii="仿宋_GB2312" w:eastAsia="仿宋_GB2312" w:cs="Times New Roman" w:hint="eastAsia"/>
          <w:kern w:val="2"/>
          <w:sz w:val="28"/>
          <w:szCs w:val="28"/>
        </w:rPr>
        <w:t>高层次、工程型、国际化</w:t>
      </w:r>
      <w:r w:rsidRPr="00094BBC">
        <w:rPr>
          <w:rFonts w:ascii="仿宋_GB2312" w:eastAsia="仿宋_GB2312" w:cs="Times New Roman"/>
          <w:kern w:val="2"/>
          <w:sz w:val="28"/>
          <w:szCs w:val="28"/>
        </w:rPr>
        <w:t>”</w:t>
      </w:r>
      <w:r w:rsidRPr="00094BBC">
        <w:rPr>
          <w:rFonts w:ascii="仿宋_GB2312" w:eastAsia="仿宋_GB2312" w:cs="Times New Roman" w:hint="eastAsia"/>
          <w:kern w:val="2"/>
          <w:sz w:val="28"/>
          <w:szCs w:val="28"/>
        </w:rPr>
        <w:t>软件人才培养目标，实现受众知识体系与产业需求之间无障碍对接，加强实践教学，软件学院下设专业类实验室、新技术类实验室、工程训练类实验室和创新类实验室共计</w:t>
      </w:r>
      <w:r w:rsidRPr="00094BBC">
        <w:rPr>
          <w:rFonts w:ascii="仿宋_GB2312" w:eastAsia="仿宋_GB2312" w:cs="Times New Roman"/>
          <w:kern w:val="2"/>
          <w:sz w:val="28"/>
          <w:szCs w:val="28"/>
        </w:rPr>
        <w:t>4</w:t>
      </w:r>
      <w:r w:rsidRPr="00094BBC">
        <w:rPr>
          <w:rFonts w:ascii="仿宋_GB2312" w:eastAsia="仿宋_GB2312" w:cs="Times New Roman" w:hint="eastAsia"/>
          <w:kern w:val="2"/>
          <w:sz w:val="28"/>
          <w:szCs w:val="28"/>
        </w:rPr>
        <w:t>大类</w:t>
      </w:r>
      <w:r w:rsidRPr="00094BBC">
        <w:rPr>
          <w:rFonts w:ascii="仿宋_GB2312" w:eastAsia="仿宋_GB2312" w:cs="Times New Roman"/>
          <w:kern w:val="2"/>
          <w:sz w:val="28"/>
          <w:szCs w:val="28"/>
        </w:rPr>
        <w:t>24</w:t>
      </w:r>
      <w:r w:rsidRPr="00094BBC">
        <w:rPr>
          <w:rFonts w:ascii="仿宋_GB2312" w:eastAsia="仿宋_GB2312" w:cs="Times New Roman" w:hint="eastAsia"/>
          <w:kern w:val="2"/>
          <w:sz w:val="28"/>
          <w:szCs w:val="28"/>
        </w:rPr>
        <w:t>个实验室，拥有国内领先的高性能计算系统、大规模数据中心、高端基础软件平台和数字媒体技术平台。学院先后与</w:t>
      </w:r>
      <w:r w:rsidRPr="00094BBC">
        <w:rPr>
          <w:rFonts w:ascii="仿宋_GB2312" w:eastAsia="仿宋_GB2312" w:cs="Times New Roman"/>
          <w:kern w:val="2"/>
          <w:sz w:val="28"/>
          <w:szCs w:val="28"/>
        </w:rPr>
        <w:t>IBM</w:t>
      </w:r>
      <w:r w:rsidRPr="00094BBC">
        <w:rPr>
          <w:rFonts w:ascii="仿宋_GB2312" w:eastAsia="仿宋_GB2312" w:cs="Times New Roman" w:hint="eastAsia"/>
          <w:kern w:val="2"/>
          <w:sz w:val="28"/>
          <w:szCs w:val="28"/>
        </w:rPr>
        <w:t>、</w:t>
      </w:r>
      <w:r w:rsidRPr="00094BBC">
        <w:rPr>
          <w:rFonts w:ascii="仿宋_GB2312" w:eastAsia="仿宋_GB2312" w:cs="Times New Roman"/>
          <w:kern w:val="2"/>
          <w:sz w:val="28"/>
          <w:szCs w:val="28"/>
        </w:rPr>
        <w:t>Intel</w:t>
      </w:r>
      <w:r w:rsidRPr="00094BBC">
        <w:rPr>
          <w:rFonts w:ascii="仿宋_GB2312" w:eastAsia="仿宋_GB2312" w:cs="Times New Roman" w:hint="eastAsia"/>
          <w:kern w:val="2"/>
          <w:sz w:val="28"/>
          <w:szCs w:val="28"/>
        </w:rPr>
        <w:t>、</w:t>
      </w:r>
      <w:r w:rsidRPr="00094BBC">
        <w:rPr>
          <w:rFonts w:ascii="仿宋_GB2312" w:eastAsia="仿宋_GB2312" w:cs="Times New Roman"/>
          <w:kern w:val="2"/>
          <w:sz w:val="28"/>
          <w:szCs w:val="28"/>
        </w:rPr>
        <w:t>HP</w:t>
      </w:r>
      <w:r w:rsidRPr="00094BBC">
        <w:rPr>
          <w:rFonts w:ascii="仿宋_GB2312" w:eastAsia="仿宋_GB2312" w:cs="Times New Roman" w:hint="eastAsia"/>
          <w:kern w:val="2"/>
          <w:sz w:val="28"/>
          <w:szCs w:val="28"/>
        </w:rPr>
        <w:t>、微软、美国</w:t>
      </w:r>
      <w:r w:rsidRPr="00094BBC">
        <w:rPr>
          <w:rFonts w:ascii="仿宋_GB2312" w:eastAsia="仿宋_GB2312" w:cs="Times New Roman"/>
          <w:kern w:val="2"/>
          <w:sz w:val="28"/>
          <w:szCs w:val="28"/>
        </w:rPr>
        <w:t>Infor</w:t>
      </w:r>
      <w:r w:rsidRPr="00094BBC">
        <w:rPr>
          <w:rFonts w:ascii="仿宋_GB2312" w:eastAsia="仿宋_GB2312" w:cs="Times New Roman" w:hint="eastAsia"/>
          <w:kern w:val="2"/>
          <w:sz w:val="28"/>
          <w:szCs w:val="28"/>
        </w:rPr>
        <w:t>、</w:t>
      </w:r>
      <w:r w:rsidRPr="00094BBC">
        <w:rPr>
          <w:rFonts w:ascii="仿宋_GB2312" w:eastAsia="仿宋_GB2312" w:cs="Times New Roman"/>
          <w:kern w:val="2"/>
          <w:sz w:val="28"/>
          <w:szCs w:val="28"/>
        </w:rPr>
        <w:t>E5 system</w:t>
      </w:r>
      <w:r w:rsidRPr="00094BBC">
        <w:rPr>
          <w:rFonts w:ascii="仿宋_GB2312" w:eastAsia="仿宋_GB2312" w:cs="Times New Roman" w:hint="eastAsia"/>
          <w:kern w:val="2"/>
          <w:sz w:val="28"/>
          <w:szCs w:val="28"/>
        </w:rPr>
        <w:t>、花旗软件技术服务（上海）有限公司、</w:t>
      </w:r>
      <w:r w:rsidRPr="00094BBC">
        <w:rPr>
          <w:rFonts w:ascii="仿宋_GB2312" w:eastAsia="仿宋_GB2312" w:cs="Times New Roman"/>
          <w:kern w:val="2"/>
          <w:sz w:val="28"/>
          <w:szCs w:val="28"/>
        </w:rPr>
        <w:t>NEC</w:t>
      </w:r>
      <w:r w:rsidRPr="00094BBC">
        <w:rPr>
          <w:rFonts w:ascii="仿宋_GB2312" w:eastAsia="仿宋_GB2312" w:cs="Times New Roman" w:hint="eastAsia"/>
          <w:kern w:val="2"/>
          <w:sz w:val="28"/>
          <w:szCs w:val="28"/>
        </w:rPr>
        <w:t>等国际知名公司开展了良好的合作，与神州数码（中国）有限公司、海信集团、浪潮集团、上海微创软件有限公司、威海农友软件有限公司等</w:t>
      </w:r>
      <w:r w:rsidRPr="00094BBC">
        <w:rPr>
          <w:rFonts w:ascii="仿宋_GB2312" w:eastAsia="仿宋_GB2312" w:cs="Times New Roman"/>
          <w:kern w:val="2"/>
          <w:sz w:val="28"/>
          <w:szCs w:val="28"/>
        </w:rPr>
        <w:t>80</w:t>
      </w:r>
      <w:r w:rsidRPr="00094BBC">
        <w:rPr>
          <w:rFonts w:ascii="仿宋_GB2312" w:eastAsia="仿宋_GB2312" w:cs="Times New Roman" w:hint="eastAsia"/>
          <w:kern w:val="2"/>
          <w:sz w:val="28"/>
          <w:szCs w:val="28"/>
        </w:rPr>
        <w:t>余家国内外著名公司合作建立了校外实训基地。为学生参与实际项目的开发，熟悉软件企业的生产流程和软件市场，学习和运用软件开发、管理方面的知识，提升创新能力提供了条件和保障。其中，有代表性的校外实践基地如下表所示：</w:t>
      </w:r>
    </w:p>
    <w:p w:rsidR="009C6EE0" w:rsidRPr="00094BBC" w:rsidRDefault="009C6EE0" w:rsidP="00A25DE8">
      <w:pPr>
        <w:adjustRightInd w:val="0"/>
        <w:snapToGrid w:val="0"/>
        <w:spacing w:line="360" w:lineRule="auto"/>
        <w:jc w:val="center"/>
        <w:rPr>
          <w:rFonts w:ascii="宋体" w:cs="仿宋_GB2312"/>
          <w:b/>
          <w:bCs/>
        </w:rPr>
      </w:pPr>
      <w:r w:rsidRPr="00094BBC">
        <w:rPr>
          <w:rFonts w:ascii="宋体" w:hAnsi="宋体" w:cs="仿宋_GB2312" w:hint="eastAsia"/>
          <w:b/>
          <w:bCs/>
        </w:rPr>
        <w:t>代表性校外实践基地</w:t>
      </w:r>
    </w:p>
    <w:tbl>
      <w:tblPr>
        <w:tblW w:w="7112" w:type="dxa"/>
        <w:jc w:val="center"/>
        <w:tblLook w:val="00A0"/>
      </w:tblPr>
      <w:tblGrid>
        <w:gridCol w:w="852"/>
        <w:gridCol w:w="4060"/>
        <w:gridCol w:w="2200"/>
      </w:tblGrid>
      <w:tr w:rsidR="009C6EE0" w:rsidRPr="00094BBC" w:rsidTr="00D82C0D">
        <w:trPr>
          <w:trHeight w:val="315"/>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序号</w:t>
            </w:r>
          </w:p>
        </w:tc>
        <w:tc>
          <w:tcPr>
            <w:tcW w:w="4060" w:type="dxa"/>
            <w:tcBorders>
              <w:top w:val="single" w:sz="4" w:space="0" w:color="auto"/>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基地名称</w:t>
            </w:r>
          </w:p>
        </w:tc>
        <w:tc>
          <w:tcPr>
            <w:tcW w:w="2200" w:type="dxa"/>
            <w:tcBorders>
              <w:top w:val="single" w:sz="4" w:space="0" w:color="auto"/>
              <w:left w:val="nil"/>
              <w:bottom w:val="single" w:sz="4" w:space="0" w:color="auto"/>
              <w:right w:val="single" w:sz="4" w:space="0" w:color="auto"/>
            </w:tcBorders>
            <w:noWrap/>
            <w:vAlign w:val="center"/>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单位所在地</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微软</w:t>
            </w:r>
            <w:r w:rsidRPr="00094BBC">
              <w:rPr>
                <w:rFonts w:ascii="宋体" w:hAnsi="宋体"/>
                <w:kern w:val="0"/>
                <w:sz w:val="24"/>
                <w:szCs w:val="24"/>
              </w:rPr>
              <w:t>(</w:t>
            </w:r>
            <w:r w:rsidRPr="00094BBC">
              <w:rPr>
                <w:rFonts w:ascii="宋体" w:hAnsi="宋体" w:hint="eastAsia"/>
                <w:kern w:val="0"/>
                <w:sz w:val="24"/>
                <w:szCs w:val="24"/>
              </w:rPr>
              <w:t>中国</w:t>
            </w:r>
            <w:r w:rsidRPr="00094BBC">
              <w:rPr>
                <w:rFonts w:ascii="宋体" w:hAnsi="宋体"/>
                <w:kern w:val="0"/>
                <w:sz w:val="24"/>
                <w:szCs w:val="24"/>
              </w:rPr>
              <w:t>)</w:t>
            </w:r>
            <w:r w:rsidRPr="00094BBC">
              <w:rPr>
                <w:rFonts w:ascii="宋体" w:hAnsi="宋体" w:hint="eastAsia"/>
                <w:kern w:val="0"/>
                <w:sz w:val="24"/>
                <w:szCs w:val="24"/>
              </w:rPr>
              <w:t>有限公司（</w:t>
            </w:r>
            <w:r w:rsidRPr="00094BBC">
              <w:rPr>
                <w:rFonts w:ascii="宋体" w:hAnsi="宋体"/>
                <w:kern w:val="0"/>
                <w:sz w:val="24"/>
                <w:szCs w:val="24"/>
              </w:rPr>
              <w:t>Microsoft</w:t>
            </w:r>
            <w:r w:rsidRPr="00094BBC">
              <w:rPr>
                <w:rFonts w:ascii="宋体" w:hAnsi="宋体" w:hint="eastAsia"/>
                <w:kern w:val="0"/>
                <w:sz w:val="24"/>
                <w:szCs w:val="24"/>
              </w:rPr>
              <w:t>）</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北京、上海</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国际商业机器</w:t>
            </w:r>
            <w:r w:rsidRPr="00094BBC">
              <w:rPr>
                <w:rFonts w:ascii="宋体" w:hAnsi="宋体"/>
                <w:kern w:val="0"/>
              </w:rPr>
              <w:t>(</w:t>
            </w:r>
            <w:r w:rsidRPr="00094BBC">
              <w:rPr>
                <w:rFonts w:ascii="宋体" w:hAnsi="宋体" w:hint="eastAsia"/>
                <w:kern w:val="0"/>
              </w:rPr>
              <w:t>中国</w:t>
            </w:r>
            <w:r w:rsidRPr="00094BBC">
              <w:rPr>
                <w:rFonts w:ascii="宋体" w:hAnsi="宋体"/>
                <w:kern w:val="0"/>
              </w:rPr>
              <w:t>)</w:t>
            </w:r>
            <w:r w:rsidRPr="00094BBC">
              <w:rPr>
                <w:rFonts w:ascii="宋体" w:hAnsi="宋体" w:hint="eastAsia"/>
                <w:kern w:val="0"/>
              </w:rPr>
              <w:t>有限公司</w:t>
            </w:r>
            <w:r w:rsidRPr="00094BBC">
              <w:rPr>
                <w:rFonts w:ascii="宋体" w:hAnsi="宋体"/>
                <w:kern w:val="0"/>
              </w:rPr>
              <w:t>(IBM)</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北京、上海</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英特尔（中国）有限公司（</w:t>
            </w:r>
            <w:r w:rsidRPr="00094BBC">
              <w:rPr>
                <w:rFonts w:ascii="宋体" w:hAnsi="宋体"/>
                <w:kern w:val="0"/>
                <w:sz w:val="24"/>
                <w:szCs w:val="24"/>
              </w:rPr>
              <w:t>Intel</w:t>
            </w:r>
            <w:r w:rsidRPr="00094BBC">
              <w:rPr>
                <w:rFonts w:ascii="宋体" w:hAnsi="宋体" w:hint="eastAsia"/>
                <w:kern w:val="0"/>
                <w:sz w:val="24"/>
                <w:szCs w:val="24"/>
              </w:rPr>
              <w:t>）</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亚马逊（中国）</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5</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腾讯公司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深圳</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6</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阿里巴巴</w:t>
            </w:r>
          </w:p>
        </w:tc>
        <w:tc>
          <w:tcPr>
            <w:tcW w:w="2200" w:type="dxa"/>
            <w:tcBorders>
              <w:top w:val="nil"/>
              <w:left w:val="nil"/>
              <w:bottom w:val="single" w:sz="4" w:space="0" w:color="auto"/>
              <w:right w:val="single" w:sz="4" w:space="0" w:color="auto"/>
            </w:tcBorders>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杭州</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7</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百度</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8</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cs="宋体"/>
                <w:kern w:val="0"/>
                <w:sz w:val="24"/>
                <w:szCs w:val="24"/>
              </w:rPr>
            </w:pPr>
            <w:r w:rsidRPr="00094BBC">
              <w:rPr>
                <w:rFonts w:ascii="宋体" w:hAnsi="宋体" w:cs="宋体" w:hint="eastAsia"/>
                <w:kern w:val="0"/>
                <w:sz w:val="24"/>
                <w:szCs w:val="24"/>
              </w:rPr>
              <w:t>北京联想软件有限公司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9</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华为技术有限公司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南京、苏州、深圳</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10</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浪潮集团有限公司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11</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惠普（中国）有限公司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12</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北京爱奇艺科技有限公司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13</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中软国际有限公司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14</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海信集团有限公司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青岛</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15</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凌志软件股份有限公司件</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苏州</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16</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用友软件股份有限公司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17</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甲骨文</w:t>
            </w:r>
            <w:r w:rsidRPr="00094BBC">
              <w:rPr>
                <w:rFonts w:ascii="宋体" w:hAnsi="宋体"/>
                <w:kern w:val="0"/>
                <w:sz w:val="24"/>
                <w:szCs w:val="24"/>
              </w:rPr>
              <w:t>(</w:t>
            </w:r>
            <w:r w:rsidRPr="00094BBC">
              <w:rPr>
                <w:rFonts w:ascii="宋体" w:hAnsi="宋体" w:hint="eastAsia"/>
                <w:kern w:val="0"/>
                <w:sz w:val="24"/>
                <w:szCs w:val="24"/>
              </w:rPr>
              <w:t>中国</w:t>
            </w:r>
            <w:r w:rsidRPr="00094BBC">
              <w:rPr>
                <w:rFonts w:ascii="宋体" w:hAnsi="宋体"/>
                <w:kern w:val="0"/>
                <w:sz w:val="24"/>
                <w:szCs w:val="24"/>
              </w:rPr>
              <w:t>)</w:t>
            </w:r>
            <w:r w:rsidRPr="00094BBC">
              <w:rPr>
                <w:rFonts w:ascii="宋体" w:hAnsi="宋体" w:hint="eastAsia"/>
                <w:kern w:val="0"/>
                <w:sz w:val="24"/>
                <w:szCs w:val="24"/>
              </w:rPr>
              <w:t>软件系统有限公司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18</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思爱普</w:t>
            </w:r>
            <w:r w:rsidRPr="00094BBC">
              <w:rPr>
                <w:rFonts w:ascii="宋体" w:hAnsi="宋体"/>
                <w:kern w:val="0"/>
              </w:rPr>
              <w:t>(</w:t>
            </w:r>
            <w:r w:rsidRPr="00094BBC">
              <w:rPr>
                <w:rFonts w:ascii="宋体" w:hAnsi="宋体" w:hint="eastAsia"/>
                <w:kern w:val="0"/>
              </w:rPr>
              <w:t>北京</w:t>
            </w:r>
            <w:r w:rsidRPr="00094BBC">
              <w:rPr>
                <w:rFonts w:ascii="宋体" w:hAnsi="宋体"/>
                <w:kern w:val="0"/>
              </w:rPr>
              <w:t>)</w:t>
            </w:r>
            <w:r w:rsidRPr="00094BBC">
              <w:rPr>
                <w:rFonts w:ascii="宋体" w:hAnsi="宋体" w:hint="eastAsia"/>
                <w:kern w:val="0"/>
              </w:rPr>
              <w:t>软件系统有限公司（</w:t>
            </w:r>
            <w:r w:rsidRPr="00094BBC">
              <w:rPr>
                <w:rFonts w:ascii="宋体" w:hAnsi="宋体"/>
                <w:kern w:val="0"/>
              </w:rPr>
              <w:t>SAP</w:t>
            </w:r>
            <w:r w:rsidRPr="00094BBC">
              <w:rPr>
                <w:rFonts w:ascii="宋体" w:hAnsi="宋体" w:hint="eastAsia"/>
                <w:kern w:val="0"/>
              </w:rPr>
              <w:t>）</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19</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思科系统（中国）网络技术有限公司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20</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易宝支付有限公司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21</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cs="宋体"/>
                <w:kern w:val="0"/>
                <w:sz w:val="22"/>
              </w:rPr>
            </w:pPr>
            <w:r w:rsidRPr="00094BBC">
              <w:rPr>
                <w:rFonts w:ascii="宋体" w:hAnsi="宋体" w:cs="宋体" w:hint="eastAsia"/>
                <w:kern w:val="0"/>
                <w:sz w:val="22"/>
                <w:szCs w:val="22"/>
              </w:rPr>
              <w:t>杭州华三通信技术有限公司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cs="宋体"/>
                <w:kern w:val="0"/>
                <w:sz w:val="24"/>
                <w:szCs w:val="24"/>
              </w:rPr>
            </w:pPr>
            <w:r w:rsidRPr="00094BBC">
              <w:rPr>
                <w:rFonts w:ascii="宋体" w:hAnsi="宋体" w:cs="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22</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cs="宋体"/>
                <w:kern w:val="0"/>
                <w:sz w:val="24"/>
                <w:szCs w:val="24"/>
              </w:rPr>
            </w:pPr>
            <w:r w:rsidRPr="00094BBC">
              <w:rPr>
                <w:rFonts w:ascii="宋体" w:hAnsi="宋体" w:cs="宋体" w:hint="eastAsia"/>
                <w:kern w:val="0"/>
                <w:sz w:val="24"/>
                <w:szCs w:val="24"/>
              </w:rPr>
              <w:t>绿盟科技</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cs="宋体"/>
                <w:kern w:val="0"/>
                <w:sz w:val="24"/>
                <w:szCs w:val="24"/>
              </w:rPr>
            </w:pPr>
            <w:r w:rsidRPr="00094BBC">
              <w:rPr>
                <w:rFonts w:ascii="宋体" w:hAnsi="宋体" w:cs="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23</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北京星网锐捷网络技术有限公司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24</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锐迪科创微电子（北京）有限公司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25</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易宝支付有限公司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26</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中国软件与技术服务股份有限公司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27</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正益无线（北京）科技有限公司</w:t>
            </w:r>
          </w:p>
        </w:tc>
        <w:tc>
          <w:tcPr>
            <w:tcW w:w="2200" w:type="dxa"/>
            <w:tcBorders>
              <w:top w:val="nil"/>
              <w:left w:val="nil"/>
              <w:bottom w:val="single" w:sz="4" w:space="0" w:color="auto"/>
              <w:right w:val="single" w:sz="4" w:space="0" w:color="auto"/>
            </w:tcBorders>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28</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艺龙网信息技术有限公司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29</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北京新思软件技术有限公司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30</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软通动力信息技术有限公司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31</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神州数码</w:t>
            </w:r>
            <w:r w:rsidRPr="00094BBC">
              <w:rPr>
                <w:rFonts w:ascii="宋体" w:hAnsi="宋体"/>
                <w:kern w:val="0"/>
              </w:rPr>
              <w:t>(</w:t>
            </w:r>
            <w:r w:rsidRPr="00094BBC">
              <w:rPr>
                <w:rFonts w:ascii="宋体" w:hAnsi="宋体" w:hint="eastAsia"/>
                <w:kern w:val="0"/>
              </w:rPr>
              <w:t>中国</w:t>
            </w:r>
            <w:r w:rsidRPr="00094BBC">
              <w:rPr>
                <w:rFonts w:ascii="宋体" w:hAnsi="宋体"/>
                <w:kern w:val="0"/>
              </w:rPr>
              <w:t>)</w:t>
            </w:r>
            <w:r w:rsidRPr="00094BBC">
              <w:rPr>
                <w:rFonts w:ascii="宋体" w:hAnsi="宋体" w:hint="eastAsia"/>
                <w:kern w:val="0"/>
              </w:rPr>
              <w:t>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32</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亚信科技（中国）有限公司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北京、上海</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33</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群硕软件开发</w:t>
            </w:r>
            <w:r w:rsidRPr="00094BBC">
              <w:rPr>
                <w:rFonts w:ascii="宋体" w:hAnsi="宋体"/>
                <w:kern w:val="0"/>
                <w:sz w:val="24"/>
                <w:szCs w:val="24"/>
              </w:rPr>
              <w:t>(</w:t>
            </w:r>
            <w:r w:rsidRPr="00094BBC">
              <w:rPr>
                <w:rFonts w:ascii="宋体" w:hAnsi="宋体" w:hint="eastAsia"/>
                <w:kern w:val="0"/>
                <w:sz w:val="24"/>
                <w:szCs w:val="24"/>
              </w:rPr>
              <w:t>上海</w:t>
            </w:r>
            <w:r w:rsidRPr="00094BBC">
              <w:rPr>
                <w:rFonts w:ascii="宋体" w:hAnsi="宋体"/>
                <w:kern w:val="0"/>
                <w:sz w:val="24"/>
                <w:szCs w:val="24"/>
              </w:rPr>
              <w:t>)</w:t>
            </w:r>
            <w:r w:rsidRPr="00094BBC">
              <w:rPr>
                <w:rFonts w:ascii="宋体" w:hAnsi="宋体" w:hint="eastAsia"/>
                <w:kern w:val="0"/>
                <w:sz w:val="24"/>
                <w:szCs w:val="24"/>
              </w:rPr>
              <w:t>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上海</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34</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中兴通讯股份有限公司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深圳</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35</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金蝶软件（中国）有限公司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深圳</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36</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东软集团股份有限公司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沈阳</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37</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大连华信计算机技术有限公司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大连</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38</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山东中创软件工程股份有限公司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39</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山大地纬软件股份有限公司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40</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kern w:val="0"/>
                <w:sz w:val="24"/>
                <w:szCs w:val="24"/>
              </w:rPr>
              <w:t>NEC</w:t>
            </w:r>
            <w:r w:rsidRPr="00094BBC">
              <w:rPr>
                <w:rFonts w:ascii="宋体" w:hAnsi="宋体" w:hint="eastAsia"/>
                <w:kern w:val="0"/>
                <w:sz w:val="24"/>
                <w:szCs w:val="24"/>
              </w:rPr>
              <w:t>软件（济南）有限公司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41</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中国搜索信息科技股份有限公司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42</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山东省数码影视制作有限公司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43</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山东城商行联盟</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44</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亿帆环球科技</w:t>
            </w:r>
            <w:r w:rsidRPr="00094BBC">
              <w:rPr>
                <w:rFonts w:ascii="宋体" w:hAnsi="宋体"/>
                <w:kern w:val="0"/>
                <w:sz w:val="24"/>
                <w:szCs w:val="24"/>
              </w:rPr>
              <w:t>(</w:t>
            </w:r>
            <w:r w:rsidRPr="00094BBC">
              <w:rPr>
                <w:rFonts w:ascii="宋体" w:hAnsi="宋体" w:hint="eastAsia"/>
                <w:kern w:val="0"/>
                <w:sz w:val="24"/>
                <w:szCs w:val="24"/>
              </w:rPr>
              <w:t>济南</w:t>
            </w:r>
            <w:r w:rsidRPr="00094BBC">
              <w:rPr>
                <w:rFonts w:ascii="宋体" w:hAnsi="宋体"/>
                <w:kern w:val="0"/>
                <w:sz w:val="24"/>
                <w:szCs w:val="24"/>
              </w:rPr>
              <w:t>)</w:t>
            </w:r>
            <w:r w:rsidRPr="00094BBC">
              <w:rPr>
                <w:rFonts w:ascii="宋体" w:hAnsi="宋体" w:hint="eastAsia"/>
                <w:kern w:val="0"/>
                <w:sz w:val="24"/>
                <w:szCs w:val="24"/>
              </w:rPr>
              <w:t>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45</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山大鲁能信息科技有限公司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46</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山东山大华天软件有限公司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47</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山东政通科技发展有限公司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48</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普联软件股份有限公司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49</w:t>
            </w:r>
          </w:p>
        </w:tc>
        <w:tc>
          <w:tcPr>
            <w:tcW w:w="406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济南大陆机电股份有限公司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50</w:t>
            </w:r>
          </w:p>
        </w:tc>
        <w:tc>
          <w:tcPr>
            <w:tcW w:w="4060" w:type="dxa"/>
            <w:tcBorders>
              <w:top w:val="nil"/>
              <w:left w:val="nil"/>
              <w:bottom w:val="nil"/>
              <w:right w:val="nil"/>
            </w:tcBorders>
            <w:noWrap/>
            <w:vAlign w:val="bottom"/>
          </w:tcPr>
          <w:p w:rsidR="009C6EE0" w:rsidRPr="00094BBC" w:rsidRDefault="009C6EE0" w:rsidP="00A25DE8">
            <w:pPr>
              <w:widowControl/>
              <w:spacing w:line="360" w:lineRule="auto"/>
              <w:jc w:val="left"/>
              <w:rPr>
                <w:rFonts w:ascii="宋体"/>
                <w:kern w:val="0"/>
                <w:sz w:val="24"/>
                <w:szCs w:val="24"/>
              </w:rPr>
            </w:pPr>
            <w:r w:rsidRPr="00094BBC">
              <w:rPr>
                <w:rFonts w:ascii="宋体" w:hAnsi="宋体" w:hint="eastAsia"/>
                <w:kern w:val="0"/>
                <w:sz w:val="24"/>
                <w:szCs w:val="24"/>
              </w:rPr>
              <w:t>积成电子股份有限公司</w:t>
            </w:r>
          </w:p>
        </w:tc>
        <w:tc>
          <w:tcPr>
            <w:tcW w:w="2200"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51</w:t>
            </w:r>
          </w:p>
        </w:tc>
        <w:tc>
          <w:tcPr>
            <w:tcW w:w="4060" w:type="dxa"/>
            <w:tcBorders>
              <w:top w:val="single" w:sz="4" w:space="0" w:color="auto"/>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cs="宋体"/>
                <w:kern w:val="0"/>
                <w:sz w:val="24"/>
                <w:szCs w:val="24"/>
              </w:rPr>
            </w:pPr>
            <w:r w:rsidRPr="00094BBC">
              <w:rPr>
                <w:rFonts w:ascii="宋体" w:hAnsi="宋体" w:cs="宋体" w:hint="eastAsia"/>
                <w:kern w:val="0"/>
                <w:sz w:val="24"/>
                <w:szCs w:val="24"/>
              </w:rPr>
              <w:t>山东神思电子技术股份有限公司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cs="宋体"/>
                <w:kern w:val="0"/>
                <w:sz w:val="24"/>
                <w:szCs w:val="24"/>
              </w:rPr>
            </w:pPr>
            <w:r w:rsidRPr="00094BBC">
              <w:rPr>
                <w:rFonts w:ascii="宋体" w:hAnsi="宋体" w:cs="宋体" w:hint="eastAsia"/>
                <w:kern w:val="0"/>
                <w:sz w:val="24"/>
                <w:szCs w:val="24"/>
              </w:rPr>
              <w:t>济南</w:t>
            </w:r>
          </w:p>
        </w:tc>
      </w:tr>
      <w:tr w:rsidR="009C6EE0" w:rsidRPr="00094BBC" w:rsidTr="00D82C0D">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hAnsi="宋体"/>
                <w:kern w:val="0"/>
                <w:sz w:val="24"/>
                <w:szCs w:val="24"/>
              </w:rPr>
            </w:pPr>
            <w:r w:rsidRPr="00094BBC">
              <w:rPr>
                <w:rFonts w:ascii="宋体" w:hAnsi="宋体"/>
                <w:kern w:val="0"/>
                <w:sz w:val="24"/>
                <w:szCs w:val="24"/>
              </w:rPr>
              <w:t>52</w:t>
            </w:r>
          </w:p>
        </w:tc>
        <w:tc>
          <w:tcPr>
            <w:tcW w:w="4060" w:type="dxa"/>
            <w:tcBorders>
              <w:top w:val="nil"/>
              <w:left w:val="nil"/>
              <w:bottom w:val="single" w:sz="4" w:space="0" w:color="auto"/>
              <w:right w:val="single" w:sz="4" w:space="0" w:color="auto"/>
            </w:tcBorders>
            <w:noWrap/>
            <w:vAlign w:val="center"/>
          </w:tcPr>
          <w:p w:rsidR="009C6EE0" w:rsidRPr="00094BBC" w:rsidRDefault="009C6EE0" w:rsidP="00A25DE8">
            <w:pPr>
              <w:widowControl/>
              <w:spacing w:line="360" w:lineRule="auto"/>
              <w:jc w:val="left"/>
              <w:rPr>
                <w:rFonts w:ascii="宋体" w:cs="宋体"/>
                <w:kern w:val="0"/>
                <w:sz w:val="24"/>
                <w:szCs w:val="24"/>
              </w:rPr>
            </w:pPr>
            <w:r w:rsidRPr="00094BBC">
              <w:rPr>
                <w:rFonts w:ascii="宋体" w:hAnsi="宋体" w:cs="宋体" w:hint="eastAsia"/>
                <w:kern w:val="0"/>
                <w:sz w:val="24"/>
                <w:szCs w:val="24"/>
              </w:rPr>
              <w:t>山东金现代信息技术有限公司</w:t>
            </w:r>
          </w:p>
        </w:tc>
        <w:tc>
          <w:tcPr>
            <w:tcW w:w="2200" w:type="dxa"/>
            <w:tcBorders>
              <w:top w:val="nil"/>
              <w:left w:val="nil"/>
              <w:bottom w:val="single" w:sz="4" w:space="0" w:color="auto"/>
              <w:right w:val="single" w:sz="4" w:space="0" w:color="auto"/>
            </w:tcBorders>
            <w:noWrap/>
            <w:vAlign w:val="bottom"/>
          </w:tcPr>
          <w:p w:rsidR="009C6EE0" w:rsidRPr="00094BBC" w:rsidRDefault="009C6EE0" w:rsidP="00A25DE8">
            <w:pPr>
              <w:widowControl/>
              <w:spacing w:line="360" w:lineRule="auto"/>
              <w:jc w:val="center"/>
              <w:rPr>
                <w:rFonts w:ascii="宋体"/>
                <w:kern w:val="0"/>
                <w:sz w:val="24"/>
                <w:szCs w:val="24"/>
              </w:rPr>
            </w:pPr>
            <w:r w:rsidRPr="00094BBC">
              <w:rPr>
                <w:rFonts w:ascii="宋体" w:hAnsi="宋体" w:hint="eastAsia"/>
                <w:kern w:val="0"/>
                <w:sz w:val="24"/>
                <w:szCs w:val="24"/>
              </w:rPr>
              <w:t>济南</w:t>
            </w:r>
          </w:p>
        </w:tc>
      </w:tr>
    </w:tbl>
    <w:p w:rsidR="009C6EE0" w:rsidRPr="00094BBC" w:rsidRDefault="009C6EE0" w:rsidP="00A25DE8">
      <w:pPr>
        <w:spacing w:line="360" w:lineRule="auto"/>
        <w:rPr>
          <w:rFonts w:ascii="宋体"/>
          <w:sz w:val="24"/>
          <w:szCs w:val="24"/>
        </w:rPr>
      </w:pPr>
    </w:p>
    <w:p w:rsidR="009C6EE0" w:rsidRPr="00094BBC" w:rsidRDefault="009C6EE0" w:rsidP="00833DC7">
      <w:pPr>
        <w:spacing w:line="360" w:lineRule="auto"/>
        <w:ind w:firstLineChars="200" w:firstLine="31680"/>
        <w:rPr>
          <w:rFonts w:ascii="宋体"/>
          <w:sz w:val="24"/>
          <w:szCs w:val="24"/>
        </w:rPr>
      </w:pPr>
      <w:r w:rsidRPr="006C7E65">
        <w:rPr>
          <w:rFonts w:ascii="宋体"/>
          <w:noProof/>
          <w:sz w:val="24"/>
          <w:szCs w:val="24"/>
        </w:rPr>
        <w:pict>
          <v:shape id="图片 5" o:spid="_x0000_i1036" type="#_x0000_t75" alt="14年全国大学生服务外包创新创业大赛一等奖" style="width:207pt;height:138pt;visibility:visible">
            <v:imagedata r:id="rId19" o:title=""/>
          </v:shape>
        </w:pict>
      </w:r>
      <w:r w:rsidRPr="006C7E65">
        <w:rPr>
          <w:rFonts w:ascii="宋体"/>
          <w:noProof/>
          <w:sz w:val="24"/>
          <w:szCs w:val="24"/>
        </w:rPr>
        <w:pict>
          <v:shape id="图片 6" o:spid="_x0000_i1037" type="#_x0000_t75" alt="大合影" style="width:210pt;height:139.5pt;visibility:visible">
            <v:imagedata r:id="rId20" o:title=""/>
          </v:shape>
        </w:pict>
      </w:r>
    </w:p>
    <w:p w:rsidR="009C6EE0" w:rsidRPr="00094BBC" w:rsidRDefault="009C6EE0" w:rsidP="00A25DE8">
      <w:pPr>
        <w:spacing w:line="360" w:lineRule="auto"/>
        <w:jc w:val="center"/>
        <w:rPr>
          <w:rFonts w:ascii="宋体"/>
        </w:rPr>
      </w:pPr>
      <w:r w:rsidRPr="00094BBC">
        <w:rPr>
          <w:rFonts w:ascii="宋体" w:hAnsi="宋体" w:hint="eastAsia"/>
        </w:rPr>
        <w:t>学生参加校外实习</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4"/>
        </w:rPr>
      </w:pPr>
      <w:r w:rsidRPr="00094BBC">
        <w:rPr>
          <w:rFonts w:ascii="黑体" w:eastAsia="黑体" w:hAnsi="黑体" w:cs="仿宋_GB2312" w:hint="eastAsia"/>
          <w:b/>
          <w:bCs/>
          <w:sz w:val="28"/>
          <w:szCs w:val="24"/>
        </w:rPr>
        <w:t>（五）信息化建设</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软件学院以校园网络为基础，从教学环境、教育资源到教学科研活动全部信息化。利用信息技术把学校教育科研机构、教育科研基础设施、教学资源等进行数字化、网络化、信息化，使校园内的教师、学生利用计算机网络进行各种教学、科研和管理活动。学院信息化校园建设与学校同步进行，网络信息点、无线接入点、校园网出口总宽带、电子邮件系统、管理信息系统数据总量、数字资源量等达到学校的要求。</w:t>
      </w:r>
    </w:p>
    <w:p w:rsidR="009C6EE0" w:rsidRPr="00094BBC" w:rsidRDefault="009C6EE0" w:rsidP="00A25DE8">
      <w:pPr>
        <w:numPr>
          <w:ilvl w:val="0"/>
          <w:numId w:val="2"/>
        </w:numPr>
        <w:suppressAutoHyphens/>
        <w:autoSpaceDE w:val="0"/>
        <w:autoSpaceDN w:val="0"/>
        <w:adjustRightInd w:val="0"/>
        <w:spacing w:line="360" w:lineRule="auto"/>
        <w:textAlignment w:val="center"/>
        <w:rPr>
          <w:rFonts w:ascii="仿宋_GB2312" w:eastAsia="仿宋_GB2312"/>
          <w:sz w:val="28"/>
          <w:szCs w:val="28"/>
        </w:rPr>
      </w:pPr>
      <w:r w:rsidRPr="00094BBC">
        <w:rPr>
          <w:rFonts w:ascii="仿宋_GB2312" w:eastAsia="仿宋_GB2312" w:hint="eastAsia"/>
          <w:sz w:val="28"/>
          <w:szCs w:val="28"/>
        </w:rPr>
        <w:t>所在校区内实现了无线网全覆盖，为学生提供了良好的课程学习和实践环境。</w:t>
      </w:r>
    </w:p>
    <w:p w:rsidR="009C6EE0" w:rsidRPr="00094BBC" w:rsidRDefault="009C6EE0" w:rsidP="00A25DE8">
      <w:pPr>
        <w:numPr>
          <w:ilvl w:val="0"/>
          <w:numId w:val="2"/>
        </w:numPr>
        <w:suppressAutoHyphens/>
        <w:autoSpaceDE w:val="0"/>
        <w:autoSpaceDN w:val="0"/>
        <w:adjustRightInd w:val="0"/>
        <w:spacing w:line="360" w:lineRule="auto"/>
        <w:textAlignment w:val="center"/>
        <w:rPr>
          <w:rFonts w:ascii="仿宋_GB2312" w:eastAsia="仿宋_GB2312"/>
          <w:sz w:val="28"/>
          <w:szCs w:val="28"/>
        </w:rPr>
      </w:pPr>
      <w:r w:rsidRPr="00094BBC">
        <w:rPr>
          <w:rFonts w:ascii="仿宋_GB2312" w:eastAsia="仿宋_GB2312" w:hint="eastAsia"/>
          <w:sz w:val="28"/>
          <w:szCs w:val="28"/>
        </w:rPr>
        <w:t>以信息化平台为基础，以大数据分析为手段，学院设立了涵盖教学、科研、管理等一体的信息系统，实现了全院全过程信息化管理。</w:t>
      </w:r>
    </w:p>
    <w:p w:rsidR="009C6EE0" w:rsidRPr="00094BBC" w:rsidRDefault="009C6EE0" w:rsidP="00A25DE8">
      <w:pPr>
        <w:numPr>
          <w:ilvl w:val="0"/>
          <w:numId w:val="2"/>
        </w:numPr>
        <w:suppressAutoHyphens/>
        <w:autoSpaceDE w:val="0"/>
        <w:autoSpaceDN w:val="0"/>
        <w:adjustRightInd w:val="0"/>
        <w:spacing w:line="360" w:lineRule="auto"/>
        <w:textAlignment w:val="center"/>
        <w:rPr>
          <w:rFonts w:ascii="仿宋_GB2312" w:eastAsia="仿宋_GB2312"/>
          <w:sz w:val="28"/>
          <w:szCs w:val="28"/>
        </w:rPr>
      </w:pPr>
      <w:r w:rsidRPr="00094BBC">
        <w:rPr>
          <w:rFonts w:ascii="仿宋_GB2312" w:eastAsia="仿宋_GB2312" w:hint="eastAsia"/>
          <w:sz w:val="28"/>
          <w:szCs w:val="28"/>
        </w:rPr>
        <w:t>学院投入</w:t>
      </w:r>
      <w:r w:rsidRPr="00094BBC">
        <w:rPr>
          <w:rFonts w:ascii="仿宋_GB2312" w:eastAsia="仿宋_GB2312"/>
          <w:sz w:val="28"/>
          <w:szCs w:val="28"/>
        </w:rPr>
        <w:t>80</w:t>
      </w:r>
      <w:r w:rsidRPr="00094BBC">
        <w:rPr>
          <w:rFonts w:ascii="仿宋_GB2312" w:eastAsia="仿宋_GB2312" w:hint="eastAsia"/>
          <w:sz w:val="28"/>
          <w:szCs w:val="28"/>
        </w:rPr>
        <w:t>万建立了</w:t>
      </w:r>
      <w:r w:rsidRPr="00094BBC">
        <w:rPr>
          <w:rFonts w:ascii="仿宋_GB2312" w:eastAsia="仿宋_GB2312"/>
          <w:sz w:val="28"/>
          <w:szCs w:val="28"/>
        </w:rPr>
        <w:t>MOOC</w:t>
      </w:r>
      <w:r w:rsidRPr="00094BBC">
        <w:rPr>
          <w:rFonts w:ascii="仿宋_GB2312" w:eastAsia="仿宋_GB2312" w:hint="eastAsia"/>
          <w:sz w:val="28"/>
          <w:szCs w:val="28"/>
        </w:rPr>
        <w:t>录制室，借助互联网和移动应用，实现课堂和网络化的交叉立体化教学。</w:t>
      </w:r>
    </w:p>
    <w:bookmarkEnd w:id="1"/>
    <w:p w:rsidR="009C6EE0" w:rsidRPr="00094BBC" w:rsidRDefault="009C6EE0" w:rsidP="00A25DE8">
      <w:pPr>
        <w:numPr>
          <w:ilvl w:val="0"/>
          <w:numId w:val="2"/>
        </w:numPr>
        <w:suppressAutoHyphens/>
        <w:autoSpaceDE w:val="0"/>
        <w:autoSpaceDN w:val="0"/>
        <w:adjustRightInd w:val="0"/>
        <w:spacing w:line="360" w:lineRule="auto"/>
        <w:textAlignment w:val="center"/>
        <w:rPr>
          <w:rFonts w:ascii="仿宋_GB2312" w:eastAsia="仿宋_GB2312"/>
          <w:sz w:val="28"/>
          <w:szCs w:val="28"/>
        </w:rPr>
      </w:pPr>
      <w:r w:rsidRPr="00094BBC">
        <w:rPr>
          <w:rFonts w:ascii="仿宋_GB2312" w:eastAsia="仿宋_GB2312" w:hint="eastAsia"/>
          <w:sz w:val="28"/>
          <w:szCs w:val="28"/>
        </w:rPr>
        <w:t>依托山东大学数字资源，共享了国际主流学科和专业数据库，满足师生科研、学习的需求。</w:t>
      </w:r>
    </w:p>
    <w:p w:rsidR="009C6EE0" w:rsidRPr="00094BBC" w:rsidRDefault="009C6EE0" w:rsidP="00833DC7">
      <w:pPr>
        <w:adjustRightInd w:val="0"/>
        <w:snapToGrid w:val="0"/>
        <w:spacing w:beforeLines="50" w:line="360" w:lineRule="auto"/>
        <w:ind w:firstLineChars="200" w:firstLine="31680"/>
        <w:rPr>
          <w:rFonts w:ascii="黑体" w:eastAsia="黑体" w:hAnsi="黑体" w:cs="黑体"/>
          <w:b/>
          <w:sz w:val="28"/>
          <w:szCs w:val="28"/>
        </w:rPr>
      </w:pPr>
      <w:r w:rsidRPr="00094BBC">
        <w:rPr>
          <w:rFonts w:ascii="黑体" w:eastAsia="黑体" w:hAnsi="黑体" w:cs="黑体" w:hint="eastAsia"/>
          <w:b/>
          <w:sz w:val="28"/>
          <w:szCs w:val="28"/>
        </w:rPr>
        <w:t>四、培养机制与特色</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
          <w:bCs/>
          <w:sz w:val="28"/>
          <w:szCs w:val="28"/>
        </w:rPr>
      </w:pPr>
      <w:r w:rsidRPr="00094BBC">
        <w:rPr>
          <w:rFonts w:ascii="黑体" w:eastAsia="黑体" w:hAnsi="黑体" w:cs="仿宋_GB2312" w:hint="eastAsia"/>
          <w:b/>
          <w:bCs/>
          <w:sz w:val="28"/>
          <w:szCs w:val="28"/>
        </w:rPr>
        <w:t>（一）产学研协同育人机制</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产学研协同育人作为推动科技、教育与经济紧密结合的新型人才培养方式，近年来，已经在培养专业型创新人才方面取得了一定的成效。软件学院将生产、教育和科研三者相结合，把人才培养作为中心任务，以全面培养高校学生素质和综合能力，提高就业竞争力为目标，对企业、高校和科研机构资源进行优化配置，充分发挥各自在人才培养方面的优势，为社会培养高素质的专业型创新人才。</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sz w:val="28"/>
          <w:szCs w:val="28"/>
        </w:rPr>
        <w:t>1.</w:t>
      </w:r>
      <w:r w:rsidRPr="00094BBC">
        <w:rPr>
          <w:rFonts w:ascii="仿宋_GB2312" w:eastAsia="仿宋_GB2312" w:hint="eastAsia"/>
          <w:sz w:val="28"/>
          <w:szCs w:val="28"/>
        </w:rPr>
        <w:t>实现协同共建课程体系和动态更新。面向产业、面向国际，联合</w:t>
      </w:r>
      <w:r w:rsidRPr="00094BBC">
        <w:rPr>
          <w:rFonts w:ascii="仿宋_GB2312" w:eastAsia="仿宋_GB2312"/>
          <w:sz w:val="28"/>
          <w:szCs w:val="28"/>
        </w:rPr>
        <w:t>CMU</w:t>
      </w:r>
      <w:r w:rsidRPr="00094BBC">
        <w:rPr>
          <w:rFonts w:ascii="仿宋_GB2312" w:eastAsia="仿宋_GB2312" w:hint="eastAsia"/>
          <w:sz w:val="28"/>
          <w:szCs w:val="28"/>
        </w:rPr>
        <w:t>等国外知名软件工程领域的强势学校，引入先进的课程资源；面向产业动态，联合</w:t>
      </w:r>
      <w:r w:rsidRPr="00094BBC">
        <w:rPr>
          <w:rFonts w:ascii="仿宋_GB2312" w:eastAsia="仿宋_GB2312"/>
          <w:sz w:val="28"/>
          <w:szCs w:val="28"/>
        </w:rPr>
        <w:t>IBM</w:t>
      </w:r>
      <w:r w:rsidRPr="00094BBC">
        <w:rPr>
          <w:rFonts w:ascii="仿宋_GB2312" w:eastAsia="仿宋_GB2312" w:hint="eastAsia"/>
          <w:sz w:val="28"/>
          <w:szCs w:val="28"/>
        </w:rPr>
        <w:t>大学合作部、微软中国、百度、金蝶、浪潮等知名</w:t>
      </w:r>
      <w:r w:rsidRPr="00094BBC">
        <w:rPr>
          <w:rFonts w:ascii="仿宋_GB2312" w:eastAsia="仿宋_GB2312"/>
          <w:sz w:val="28"/>
          <w:szCs w:val="28"/>
        </w:rPr>
        <w:t>IT</w:t>
      </w:r>
      <w:r w:rsidRPr="00094BBC">
        <w:rPr>
          <w:rFonts w:ascii="仿宋_GB2312" w:eastAsia="仿宋_GB2312" w:hint="eastAsia"/>
          <w:sz w:val="28"/>
          <w:szCs w:val="28"/>
        </w:rPr>
        <w:t>公司，结合市场需求和业界动态，共同进行课程建设，动态进行课程资源的更新，以适应软件产业发展的快速变化。</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sz w:val="28"/>
          <w:szCs w:val="28"/>
        </w:rPr>
        <w:t>2.</w:t>
      </w:r>
      <w:r w:rsidRPr="00094BBC">
        <w:rPr>
          <w:rFonts w:ascii="仿宋_GB2312" w:eastAsia="仿宋_GB2312" w:hint="eastAsia"/>
          <w:sz w:val="28"/>
          <w:szCs w:val="28"/>
        </w:rPr>
        <w:t>推进产学研实训教师队伍建设。传统的单纯依靠高校教师的方式已经很难适应新一代软件技术的发展速度，必须对接产业链，引入国内外互联网公司的先进经验和企业教师资源，组建产学研实训教师队伍。</w:t>
      </w:r>
    </w:p>
    <w:p w:rsidR="009C6EE0" w:rsidRPr="00094BBC" w:rsidRDefault="009C6EE0" w:rsidP="00833DC7">
      <w:pPr>
        <w:spacing w:line="360" w:lineRule="auto"/>
        <w:ind w:firstLineChars="200" w:firstLine="31680"/>
        <w:rPr>
          <w:rFonts w:ascii="仿宋_GB2312" w:eastAsia="仿宋_GB2312"/>
          <w:sz w:val="28"/>
          <w:szCs w:val="28"/>
        </w:rPr>
      </w:pPr>
      <w:r w:rsidRPr="00094BBC">
        <w:rPr>
          <w:rFonts w:ascii="仿宋_GB2312" w:eastAsia="仿宋_GB2312"/>
          <w:sz w:val="28"/>
          <w:szCs w:val="28"/>
        </w:rPr>
        <w:t>3.</w:t>
      </w:r>
      <w:r w:rsidRPr="00094BBC">
        <w:rPr>
          <w:rFonts w:ascii="仿宋_GB2312" w:eastAsia="仿宋_GB2312" w:hint="eastAsia"/>
          <w:sz w:val="28"/>
          <w:szCs w:val="28"/>
        </w:rPr>
        <w:t>校企产学研结合，资源共享。学院与</w:t>
      </w:r>
      <w:r w:rsidRPr="00094BBC">
        <w:rPr>
          <w:rFonts w:ascii="仿宋_GB2312" w:eastAsia="仿宋_GB2312"/>
          <w:sz w:val="28"/>
          <w:szCs w:val="28"/>
        </w:rPr>
        <w:t>IBM</w:t>
      </w:r>
      <w:r w:rsidRPr="00094BBC">
        <w:rPr>
          <w:rFonts w:ascii="仿宋_GB2312" w:eastAsia="仿宋_GB2312" w:hint="eastAsia"/>
          <w:sz w:val="28"/>
          <w:szCs w:val="28"/>
        </w:rPr>
        <w:t>大学合作部、微软中国、浪潮、百度、金现代、</w:t>
      </w:r>
      <w:r w:rsidRPr="00094BBC">
        <w:rPr>
          <w:rFonts w:ascii="仿宋_GB2312" w:eastAsia="仿宋_GB2312"/>
          <w:sz w:val="28"/>
          <w:szCs w:val="28"/>
        </w:rPr>
        <w:t>NEC</w:t>
      </w:r>
      <w:r w:rsidRPr="00094BBC">
        <w:rPr>
          <w:rFonts w:ascii="仿宋_GB2312" w:eastAsia="仿宋_GB2312" w:hint="eastAsia"/>
          <w:sz w:val="28"/>
          <w:szCs w:val="28"/>
        </w:rPr>
        <w:t>等公司进行科研项目合作，同时依托山大地纬校办产业基础，共同探索面向产业动态，引入先进的课程资源和实训资源，以期实现与企业、学校及学生多赢的目的，培养造就一大批创新能力强、适应企业发展需要的优秀工程师。</w:t>
      </w:r>
    </w:p>
    <w:p w:rsidR="009C6EE0" w:rsidRPr="00094BBC" w:rsidRDefault="009C6EE0" w:rsidP="00833DC7">
      <w:pPr>
        <w:adjustRightInd w:val="0"/>
        <w:snapToGrid w:val="0"/>
        <w:spacing w:beforeLines="50" w:line="360" w:lineRule="auto"/>
        <w:ind w:firstLineChars="177" w:firstLine="31680"/>
        <w:rPr>
          <w:rFonts w:ascii="黑体" w:eastAsia="黑体" w:hAnsi="黑体"/>
          <w:sz w:val="28"/>
          <w:szCs w:val="28"/>
        </w:rPr>
      </w:pPr>
      <w:r w:rsidRPr="00094BBC">
        <w:rPr>
          <w:rFonts w:ascii="黑体" w:eastAsia="黑体" w:hAnsi="黑体" w:hint="eastAsia"/>
          <w:sz w:val="28"/>
          <w:szCs w:val="28"/>
        </w:rPr>
        <w:t>（二）教学管理</w:t>
      </w:r>
    </w:p>
    <w:p w:rsidR="009C6EE0" w:rsidRPr="00094BBC" w:rsidRDefault="009C6EE0" w:rsidP="00833DC7">
      <w:pPr>
        <w:adjustRightInd w:val="0"/>
        <w:snapToGrid w:val="0"/>
        <w:spacing w:line="360" w:lineRule="auto"/>
        <w:ind w:firstLineChars="196" w:firstLine="31680"/>
        <w:rPr>
          <w:rFonts w:ascii="仿宋_GB2312" w:eastAsia="仿宋_GB2312"/>
          <w:sz w:val="28"/>
          <w:szCs w:val="28"/>
        </w:rPr>
      </w:pPr>
      <w:r w:rsidRPr="00094BBC">
        <w:rPr>
          <w:rFonts w:ascii="仿宋_GB2312" w:eastAsia="仿宋_GB2312" w:hint="eastAsia"/>
          <w:sz w:val="28"/>
          <w:szCs w:val="28"/>
        </w:rPr>
        <w:t>教学管理与服务是基础，是提高教学质量的加速器。通过细致、周到的服务工作，激发教师、学生的积极性，是教学工作顺利开展的保障，能够有效地促进教学质量的提高。为此，数字媒体专业开展了以下几方面的工作：一是组建高效的教学管理与服务团队，建立以教学指导委员会、分管院长、专业建设负责人、教学工作组的教学管理组织结构；二是进行过程控制，借助信息化、互联网工具，搭建教学管理和服务信息平台，实现教学效果、教学环节、教学评价、过程监督的全程数字化；三是通过研究和分析教学过程数据，分析教学和考试成绩，分析教学过程中的问题，及时发现并解决；四是引入多维评价方式，增加沟通见面反馈机制，建立多元评价指标体系，最终形成改革所设定的一套体系的建设目标，即形成教学质量监督、评价和保障体系。</w:t>
      </w:r>
    </w:p>
    <w:p w:rsidR="009C6EE0" w:rsidRPr="00094BBC" w:rsidRDefault="009C6EE0" w:rsidP="00A25DE8">
      <w:pPr>
        <w:adjustRightInd w:val="0"/>
        <w:snapToGrid w:val="0"/>
        <w:spacing w:line="360" w:lineRule="auto"/>
        <w:jc w:val="center"/>
        <w:rPr>
          <w:rFonts w:ascii="宋体" w:cs="仿宋_GB2312"/>
          <w:b/>
          <w:bCs/>
          <w:sz w:val="24"/>
          <w:szCs w:val="24"/>
        </w:rPr>
      </w:pPr>
      <w:r w:rsidRPr="006C7E65">
        <w:rPr>
          <w:rFonts w:ascii="宋体" w:cs="仿宋_GB2312"/>
          <w:b/>
          <w:noProof/>
          <w:sz w:val="24"/>
          <w:szCs w:val="24"/>
        </w:rPr>
        <w:pict>
          <v:shape id="图片 7" o:spid="_x0000_i1038" type="#_x0000_t75" alt="IMG_0842" style="width:224.25pt;height:168pt;visibility:visible">
            <v:imagedata r:id="rId21" o:title=""/>
          </v:shape>
        </w:pict>
      </w:r>
      <w:r w:rsidRPr="006C7E65">
        <w:rPr>
          <w:rFonts w:ascii="宋体" w:cs="仿宋_GB2312"/>
          <w:b/>
          <w:noProof/>
          <w:sz w:val="24"/>
          <w:szCs w:val="24"/>
        </w:rPr>
        <w:pict>
          <v:shape id="图片 8" o:spid="_x0000_i1039" type="#_x0000_t75" alt="IMG_0854" style="width:224.25pt;height:168pt;visibility:visible">
            <v:imagedata r:id="rId22" o:title=""/>
          </v:shape>
        </w:pict>
      </w:r>
    </w:p>
    <w:p w:rsidR="009C6EE0" w:rsidRPr="00094BBC" w:rsidRDefault="009C6EE0" w:rsidP="00A25DE8">
      <w:pPr>
        <w:spacing w:line="360" w:lineRule="auto"/>
        <w:ind w:left="840" w:firstLine="420"/>
        <w:rPr>
          <w:rFonts w:ascii="宋体"/>
        </w:rPr>
      </w:pPr>
      <w:r w:rsidRPr="00094BBC">
        <w:rPr>
          <w:rFonts w:ascii="宋体" w:hAnsi="宋体" w:hint="eastAsia"/>
        </w:rPr>
        <w:t>本科教学中期检查交流会议</w:t>
      </w:r>
      <w:r w:rsidRPr="00094BBC">
        <w:rPr>
          <w:rFonts w:ascii="宋体"/>
        </w:rPr>
        <w:tab/>
      </w:r>
      <w:r w:rsidRPr="00094BBC">
        <w:rPr>
          <w:b/>
          <w:bCs/>
          <w:sz w:val="20"/>
          <w:szCs w:val="20"/>
        </w:rPr>
        <w:tab/>
      </w:r>
      <w:r w:rsidRPr="00094BBC">
        <w:rPr>
          <w:b/>
          <w:bCs/>
          <w:sz w:val="20"/>
          <w:szCs w:val="20"/>
        </w:rPr>
        <w:tab/>
      </w:r>
      <w:r w:rsidRPr="00094BBC">
        <w:rPr>
          <w:b/>
          <w:bCs/>
          <w:sz w:val="20"/>
          <w:szCs w:val="20"/>
        </w:rPr>
        <w:tab/>
      </w:r>
      <w:r w:rsidRPr="00094BBC">
        <w:rPr>
          <w:b/>
          <w:bCs/>
          <w:sz w:val="20"/>
          <w:szCs w:val="20"/>
        </w:rPr>
        <w:tab/>
      </w:r>
      <w:r w:rsidRPr="00094BBC">
        <w:rPr>
          <w:b/>
          <w:bCs/>
          <w:sz w:val="20"/>
          <w:szCs w:val="20"/>
        </w:rPr>
        <w:tab/>
      </w:r>
      <w:r w:rsidRPr="00094BBC">
        <w:rPr>
          <w:rFonts w:ascii="宋体"/>
        </w:rPr>
        <w:tab/>
      </w:r>
      <w:r w:rsidRPr="00094BBC">
        <w:rPr>
          <w:rFonts w:ascii="宋体" w:hAnsi="宋体" w:hint="eastAsia"/>
        </w:rPr>
        <w:t>师生座谈会</w:t>
      </w:r>
    </w:p>
    <w:p w:rsidR="009C6EE0" w:rsidRPr="00094BBC" w:rsidRDefault="009C6EE0" w:rsidP="00833DC7">
      <w:pPr>
        <w:adjustRightInd w:val="0"/>
        <w:snapToGrid w:val="0"/>
        <w:spacing w:beforeLines="50" w:line="360" w:lineRule="auto"/>
        <w:ind w:firstLineChars="200" w:firstLine="31680"/>
        <w:rPr>
          <w:rFonts w:ascii="黑体" w:eastAsia="黑体" w:hAnsi="黑体" w:cs="黑体"/>
          <w:b/>
          <w:sz w:val="28"/>
          <w:szCs w:val="28"/>
        </w:rPr>
      </w:pPr>
      <w:r w:rsidRPr="00094BBC">
        <w:rPr>
          <w:rFonts w:ascii="黑体" w:eastAsia="黑体" w:hAnsi="黑体" w:cs="黑体" w:hint="eastAsia"/>
          <w:b/>
          <w:sz w:val="28"/>
          <w:szCs w:val="28"/>
        </w:rPr>
        <w:t>五、培养质量</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（一）毕业率及学位授予率</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数字媒体专业</w:t>
      </w:r>
      <w:r w:rsidRPr="00094BBC">
        <w:rPr>
          <w:rFonts w:ascii="仿宋_GB2312" w:eastAsia="仿宋_GB2312"/>
          <w:sz w:val="28"/>
          <w:szCs w:val="28"/>
        </w:rPr>
        <w:t>2016</w:t>
      </w:r>
      <w:r w:rsidRPr="00094BBC">
        <w:rPr>
          <w:rFonts w:ascii="仿宋_GB2312" w:eastAsia="仿宋_GB2312" w:hint="eastAsia"/>
          <w:sz w:val="28"/>
          <w:szCs w:val="28"/>
        </w:rPr>
        <w:t>年应届毕业生共</w:t>
      </w:r>
      <w:r w:rsidRPr="00094BBC">
        <w:rPr>
          <w:rFonts w:ascii="仿宋_GB2312" w:eastAsia="仿宋_GB2312"/>
          <w:sz w:val="28"/>
          <w:szCs w:val="28"/>
        </w:rPr>
        <w:t>50</w:t>
      </w:r>
      <w:r w:rsidRPr="00094BBC">
        <w:rPr>
          <w:rFonts w:ascii="仿宋_GB2312" w:eastAsia="仿宋_GB2312" w:hint="eastAsia"/>
          <w:sz w:val="28"/>
          <w:szCs w:val="28"/>
        </w:rPr>
        <w:t>人，符合毕业条件的人数为</w:t>
      </w:r>
      <w:r w:rsidRPr="00094BBC">
        <w:rPr>
          <w:rFonts w:ascii="仿宋_GB2312" w:eastAsia="仿宋_GB2312"/>
          <w:sz w:val="28"/>
          <w:szCs w:val="28"/>
        </w:rPr>
        <w:t>48</w:t>
      </w:r>
      <w:r w:rsidRPr="00094BBC">
        <w:rPr>
          <w:rFonts w:ascii="仿宋_GB2312" w:eastAsia="仿宋_GB2312" w:hint="eastAsia"/>
          <w:sz w:val="28"/>
          <w:szCs w:val="28"/>
        </w:rPr>
        <w:t>人，应届本科生总体毕业率为</w:t>
      </w:r>
      <w:r w:rsidRPr="00094BBC">
        <w:rPr>
          <w:rFonts w:ascii="仿宋_GB2312" w:eastAsia="仿宋_GB2312"/>
          <w:sz w:val="28"/>
          <w:szCs w:val="28"/>
        </w:rPr>
        <w:t>96%</w:t>
      </w:r>
      <w:r w:rsidRPr="00094BBC">
        <w:rPr>
          <w:rFonts w:ascii="仿宋_GB2312" w:eastAsia="仿宋_GB2312" w:hint="eastAsia"/>
          <w:sz w:val="28"/>
          <w:szCs w:val="28"/>
        </w:rPr>
        <w:t>；符合学位授予条件有</w:t>
      </w:r>
      <w:r w:rsidRPr="00094BBC">
        <w:rPr>
          <w:rFonts w:ascii="仿宋_GB2312" w:eastAsia="仿宋_GB2312"/>
          <w:sz w:val="28"/>
          <w:szCs w:val="28"/>
        </w:rPr>
        <w:t>48</w:t>
      </w:r>
      <w:r w:rsidRPr="00094BBC">
        <w:rPr>
          <w:rFonts w:ascii="仿宋_GB2312" w:eastAsia="仿宋_GB2312" w:hint="eastAsia"/>
          <w:sz w:val="28"/>
          <w:szCs w:val="28"/>
        </w:rPr>
        <w:t>人，应届本科生总体学位授予率</w:t>
      </w:r>
      <w:r w:rsidRPr="00094BBC">
        <w:rPr>
          <w:rFonts w:ascii="仿宋_GB2312" w:eastAsia="仿宋_GB2312"/>
          <w:sz w:val="28"/>
          <w:szCs w:val="28"/>
        </w:rPr>
        <w:t>96%</w:t>
      </w:r>
      <w:r w:rsidRPr="00094BBC">
        <w:rPr>
          <w:rFonts w:ascii="仿宋_GB2312" w:eastAsia="仿宋_GB2312" w:hint="eastAsia"/>
          <w:sz w:val="28"/>
          <w:szCs w:val="28"/>
        </w:rPr>
        <w:t>。</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（二）毕业生就业率</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数字媒体专业</w:t>
      </w:r>
      <w:r w:rsidRPr="00094BBC">
        <w:rPr>
          <w:rFonts w:ascii="仿宋_GB2312" w:eastAsia="仿宋_GB2312"/>
          <w:sz w:val="28"/>
          <w:szCs w:val="28"/>
        </w:rPr>
        <w:t>50</w:t>
      </w:r>
      <w:r w:rsidRPr="00094BBC">
        <w:rPr>
          <w:rFonts w:ascii="仿宋_GB2312" w:eastAsia="仿宋_GB2312" w:hint="eastAsia"/>
          <w:sz w:val="28"/>
          <w:szCs w:val="28"/>
        </w:rPr>
        <w:t>名应届毕业生中，有</w:t>
      </w:r>
      <w:r w:rsidRPr="00094BBC">
        <w:rPr>
          <w:rFonts w:ascii="仿宋_GB2312" w:eastAsia="仿宋_GB2312"/>
          <w:sz w:val="28"/>
          <w:szCs w:val="28"/>
        </w:rPr>
        <w:t>22</w:t>
      </w:r>
      <w:r w:rsidRPr="00094BBC">
        <w:rPr>
          <w:rFonts w:ascii="仿宋_GB2312" w:eastAsia="仿宋_GB2312" w:hint="eastAsia"/>
          <w:sz w:val="28"/>
          <w:szCs w:val="28"/>
        </w:rPr>
        <w:t>名学生顺利就业，就业率</w:t>
      </w:r>
      <w:r w:rsidRPr="00094BBC">
        <w:rPr>
          <w:rFonts w:ascii="仿宋_GB2312" w:eastAsia="仿宋_GB2312"/>
          <w:sz w:val="28"/>
          <w:szCs w:val="28"/>
        </w:rPr>
        <w:t>44%</w:t>
      </w:r>
      <w:r w:rsidRPr="00094BBC">
        <w:rPr>
          <w:rFonts w:ascii="仿宋_GB2312" w:eastAsia="仿宋_GB2312" w:hint="eastAsia"/>
          <w:sz w:val="28"/>
          <w:szCs w:val="28"/>
        </w:rPr>
        <w:t>。读研</w:t>
      </w:r>
      <w:r w:rsidRPr="00094BBC">
        <w:rPr>
          <w:rFonts w:ascii="仿宋_GB2312" w:eastAsia="仿宋_GB2312"/>
          <w:sz w:val="28"/>
          <w:szCs w:val="28"/>
        </w:rPr>
        <w:t>11</w:t>
      </w:r>
      <w:r w:rsidRPr="00094BBC">
        <w:rPr>
          <w:rFonts w:ascii="仿宋_GB2312" w:eastAsia="仿宋_GB2312" w:hint="eastAsia"/>
          <w:sz w:val="28"/>
          <w:szCs w:val="28"/>
        </w:rPr>
        <w:t>人，比例</w:t>
      </w:r>
      <w:r w:rsidRPr="00094BBC">
        <w:rPr>
          <w:rFonts w:ascii="仿宋_GB2312" w:eastAsia="仿宋_GB2312"/>
          <w:sz w:val="28"/>
          <w:szCs w:val="28"/>
        </w:rPr>
        <w:t>22%</w:t>
      </w:r>
      <w:r w:rsidRPr="00094BBC">
        <w:rPr>
          <w:rFonts w:ascii="仿宋_GB2312" w:eastAsia="仿宋_GB2312" w:hint="eastAsia"/>
          <w:sz w:val="28"/>
          <w:szCs w:val="28"/>
        </w:rPr>
        <w:t>；出国留学</w:t>
      </w:r>
      <w:r w:rsidRPr="00094BBC">
        <w:rPr>
          <w:rFonts w:ascii="仿宋_GB2312" w:eastAsia="仿宋_GB2312"/>
          <w:sz w:val="28"/>
          <w:szCs w:val="28"/>
        </w:rPr>
        <w:t>12</w:t>
      </w:r>
      <w:r w:rsidRPr="00094BBC">
        <w:rPr>
          <w:rFonts w:ascii="仿宋_GB2312" w:eastAsia="仿宋_GB2312" w:hint="eastAsia"/>
          <w:sz w:val="28"/>
          <w:szCs w:val="28"/>
        </w:rPr>
        <w:t>人，比例为</w:t>
      </w:r>
      <w:r w:rsidRPr="00094BBC">
        <w:rPr>
          <w:rFonts w:ascii="仿宋_GB2312" w:eastAsia="仿宋_GB2312"/>
          <w:sz w:val="28"/>
          <w:szCs w:val="28"/>
        </w:rPr>
        <w:t>24%</w:t>
      </w:r>
      <w:r w:rsidRPr="00094BBC">
        <w:rPr>
          <w:rFonts w:ascii="仿宋_GB2312" w:eastAsia="仿宋_GB2312" w:hint="eastAsia"/>
          <w:sz w:val="28"/>
          <w:szCs w:val="28"/>
        </w:rPr>
        <w:t>。</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（三）就业专业对口率</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顺利就业的</w:t>
      </w:r>
      <w:r w:rsidRPr="00094BBC">
        <w:rPr>
          <w:rFonts w:ascii="仿宋_GB2312" w:eastAsia="仿宋_GB2312"/>
          <w:sz w:val="28"/>
          <w:szCs w:val="28"/>
        </w:rPr>
        <w:t>22</w:t>
      </w:r>
      <w:r w:rsidRPr="00094BBC">
        <w:rPr>
          <w:rFonts w:ascii="仿宋_GB2312" w:eastAsia="仿宋_GB2312" w:hint="eastAsia"/>
          <w:sz w:val="28"/>
          <w:szCs w:val="28"/>
        </w:rPr>
        <w:t>名</w:t>
      </w:r>
      <w:r w:rsidRPr="00094BBC">
        <w:rPr>
          <w:rFonts w:ascii="仿宋_GB2312" w:eastAsia="仿宋_GB2312"/>
          <w:sz w:val="28"/>
          <w:szCs w:val="28"/>
        </w:rPr>
        <w:t>2016</w:t>
      </w:r>
      <w:r w:rsidRPr="00094BBC">
        <w:rPr>
          <w:rFonts w:ascii="仿宋_GB2312" w:eastAsia="仿宋_GB2312" w:hint="eastAsia"/>
          <w:sz w:val="28"/>
          <w:szCs w:val="28"/>
        </w:rPr>
        <w:t>级学生中，有</w:t>
      </w:r>
      <w:r w:rsidRPr="00094BBC">
        <w:rPr>
          <w:rFonts w:ascii="仿宋_GB2312" w:eastAsia="仿宋_GB2312"/>
          <w:sz w:val="28"/>
          <w:szCs w:val="28"/>
        </w:rPr>
        <w:t>20</w:t>
      </w:r>
      <w:r w:rsidRPr="00094BBC">
        <w:rPr>
          <w:rFonts w:ascii="仿宋_GB2312" w:eastAsia="仿宋_GB2312" w:hint="eastAsia"/>
          <w:sz w:val="28"/>
          <w:szCs w:val="28"/>
        </w:rPr>
        <w:t>人实现的是本专业领域的就业，另外</w:t>
      </w:r>
      <w:r w:rsidRPr="00094BBC">
        <w:rPr>
          <w:rFonts w:ascii="仿宋_GB2312" w:eastAsia="仿宋_GB2312"/>
          <w:sz w:val="28"/>
          <w:szCs w:val="28"/>
        </w:rPr>
        <w:t>2</w:t>
      </w:r>
      <w:r w:rsidRPr="00094BBC">
        <w:rPr>
          <w:rFonts w:ascii="仿宋_GB2312" w:eastAsia="仿宋_GB2312" w:hint="eastAsia"/>
          <w:sz w:val="28"/>
          <w:szCs w:val="28"/>
        </w:rPr>
        <w:t>名学生的就业方向也与所学专业相关，专业对口率为</w:t>
      </w:r>
      <w:r w:rsidRPr="00094BBC">
        <w:rPr>
          <w:rFonts w:ascii="仿宋_GB2312" w:eastAsia="仿宋_GB2312"/>
          <w:sz w:val="28"/>
          <w:szCs w:val="28"/>
        </w:rPr>
        <w:t>100%</w:t>
      </w:r>
      <w:r w:rsidRPr="00094BBC">
        <w:rPr>
          <w:rFonts w:ascii="仿宋_GB2312" w:eastAsia="仿宋_GB2312" w:hint="eastAsia"/>
          <w:sz w:val="28"/>
          <w:szCs w:val="28"/>
        </w:rPr>
        <w:t>，其中，</w:t>
      </w:r>
      <w:r w:rsidRPr="00094BBC">
        <w:rPr>
          <w:rFonts w:ascii="仿宋_GB2312" w:eastAsia="仿宋_GB2312"/>
          <w:sz w:val="28"/>
          <w:szCs w:val="28"/>
        </w:rPr>
        <w:t>90%</w:t>
      </w:r>
      <w:r w:rsidRPr="00094BBC">
        <w:rPr>
          <w:rFonts w:ascii="仿宋_GB2312" w:eastAsia="仿宋_GB2312" w:hint="eastAsia"/>
          <w:sz w:val="28"/>
          <w:szCs w:val="28"/>
        </w:rPr>
        <w:t>的毕业生非常对口，</w:t>
      </w:r>
      <w:r w:rsidRPr="00094BBC">
        <w:rPr>
          <w:rFonts w:ascii="仿宋_GB2312" w:eastAsia="仿宋_GB2312"/>
          <w:sz w:val="28"/>
          <w:szCs w:val="28"/>
        </w:rPr>
        <w:t>10%</w:t>
      </w:r>
      <w:r w:rsidRPr="00094BBC">
        <w:rPr>
          <w:rFonts w:ascii="仿宋_GB2312" w:eastAsia="仿宋_GB2312" w:hint="eastAsia"/>
          <w:sz w:val="28"/>
          <w:szCs w:val="28"/>
        </w:rPr>
        <w:t>的毕业生基本对口。</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（四）毕业生发展情况</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今年，本科生出国和攻读研究生的比例很高，其中出国的</w:t>
      </w:r>
      <w:r w:rsidRPr="00094BBC">
        <w:rPr>
          <w:rFonts w:ascii="仿宋_GB2312" w:eastAsia="仿宋_GB2312"/>
          <w:sz w:val="28"/>
          <w:szCs w:val="28"/>
        </w:rPr>
        <w:t>12</w:t>
      </w:r>
      <w:r w:rsidRPr="00094BBC">
        <w:rPr>
          <w:rFonts w:ascii="仿宋_GB2312" w:eastAsia="仿宋_GB2312" w:hint="eastAsia"/>
          <w:sz w:val="28"/>
          <w:szCs w:val="28"/>
        </w:rPr>
        <w:t>名学生包括南加利福尼亚大学、佐治亚理工学院、澳大利亚国立大学、香港中文大学等国际著名大学；</w:t>
      </w:r>
      <w:r w:rsidRPr="00094BBC">
        <w:rPr>
          <w:rFonts w:ascii="仿宋_GB2312" w:eastAsia="仿宋_GB2312"/>
          <w:sz w:val="28"/>
          <w:szCs w:val="28"/>
        </w:rPr>
        <w:t>11</w:t>
      </w:r>
      <w:r w:rsidRPr="00094BBC">
        <w:rPr>
          <w:rFonts w:ascii="仿宋_GB2312" w:eastAsia="仿宋_GB2312" w:hint="eastAsia"/>
          <w:sz w:val="28"/>
          <w:szCs w:val="28"/>
        </w:rPr>
        <w:t>名研究生包括上海交通大学、中国科技大学、北京理工大学等国内著名大学。本科学生就业的地域分布，省外就业的学生主要在北京、乌鲁木齐、杭州、深圳等地。在省内就业的学生还是主要集中在济南。</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（五）就业单位满意率及社会对专业的评价</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sz w:val="28"/>
          <w:szCs w:val="28"/>
        </w:rPr>
        <w:t>2016</w:t>
      </w:r>
      <w:r w:rsidRPr="00094BBC">
        <w:rPr>
          <w:rFonts w:ascii="仿宋_GB2312" w:eastAsia="仿宋_GB2312" w:hint="eastAsia"/>
          <w:sz w:val="28"/>
          <w:szCs w:val="28"/>
        </w:rPr>
        <w:t>年，数字媒体专业在就业或升学较为集中的北京、杭州、深圳和济南等地组织毕业生质量调研。总体分析看，用人单位认为毕业生专业学习成绩、专业动手能力、综合知识水平、外语水平、文字表达水平、计算机操作水平各个方面较好。认为数字媒体的学生比较踏实，比较勤奋，能吃苦耐劳，专业知识较为扎实，毕业生从上岗到胜任工作适应较快，但也对学生提出了更高的期望，更加强调了综合素质、管理能力的提高。</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同时，用人单位也肯定了本专业的教育教学工作，被访校友普遍认为数字媒体专业的教学内容与社会需求是相符的，学科侧重应用性教学是合理的。根据调查情况汇总，学院将进一步加强对学生就业指导，通过教学和管理，努力培养和提高学生的综合能力。</w:t>
      </w:r>
    </w:p>
    <w:p w:rsidR="009C6EE0" w:rsidRPr="00094BBC" w:rsidRDefault="009C6EE0" w:rsidP="00833DC7">
      <w:pPr>
        <w:adjustRightInd w:val="0"/>
        <w:snapToGrid w:val="0"/>
        <w:spacing w:beforeLines="50" w:line="360" w:lineRule="auto"/>
        <w:ind w:firstLineChars="177" w:firstLine="31680"/>
        <w:rPr>
          <w:rFonts w:ascii="黑体" w:eastAsia="黑体" w:hAnsi="黑体" w:cs="仿宋_GB2312"/>
          <w:bCs/>
          <w:sz w:val="28"/>
          <w:szCs w:val="28"/>
        </w:rPr>
      </w:pPr>
      <w:r w:rsidRPr="00094BBC">
        <w:rPr>
          <w:rFonts w:ascii="黑体" w:eastAsia="黑体" w:hAnsi="黑体" w:cs="仿宋_GB2312" w:hint="eastAsia"/>
          <w:bCs/>
          <w:sz w:val="28"/>
          <w:szCs w:val="28"/>
        </w:rPr>
        <w:t>（六）学生就读该专业的意愿</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sz w:val="28"/>
          <w:szCs w:val="28"/>
        </w:rPr>
        <w:t>2016</w:t>
      </w:r>
      <w:r w:rsidRPr="00094BBC">
        <w:rPr>
          <w:rFonts w:ascii="仿宋_GB2312" w:eastAsia="仿宋_GB2312" w:hint="eastAsia"/>
          <w:sz w:val="28"/>
          <w:szCs w:val="28"/>
        </w:rPr>
        <w:t>年，数字媒体专业在全国</w:t>
      </w:r>
      <w:r w:rsidRPr="00094BBC">
        <w:rPr>
          <w:rFonts w:ascii="仿宋_GB2312" w:eastAsia="仿宋_GB2312"/>
          <w:sz w:val="28"/>
          <w:szCs w:val="28"/>
        </w:rPr>
        <w:t>31</w:t>
      </w:r>
      <w:r w:rsidRPr="00094BBC">
        <w:rPr>
          <w:rFonts w:ascii="仿宋_GB2312" w:eastAsia="仿宋_GB2312" w:hint="eastAsia"/>
          <w:sz w:val="28"/>
          <w:szCs w:val="28"/>
        </w:rPr>
        <w:t>个省（市、自治区）实际招收本科生</w:t>
      </w:r>
      <w:r w:rsidRPr="00094BBC">
        <w:rPr>
          <w:rFonts w:ascii="仿宋_GB2312" w:eastAsia="仿宋_GB2312"/>
          <w:sz w:val="28"/>
          <w:szCs w:val="28"/>
        </w:rPr>
        <w:t>45</w:t>
      </w:r>
      <w:r w:rsidRPr="00094BBC">
        <w:rPr>
          <w:rFonts w:ascii="仿宋_GB2312" w:eastAsia="仿宋_GB2312" w:hint="eastAsia"/>
          <w:sz w:val="28"/>
          <w:szCs w:val="28"/>
        </w:rPr>
        <w:t>人，实际报到人数为</w:t>
      </w:r>
      <w:r w:rsidRPr="00094BBC">
        <w:rPr>
          <w:rFonts w:ascii="仿宋_GB2312" w:eastAsia="仿宋_GB2312"/>
          <w:sz w:val="28"/>
          <w:szCs w:val="28"/>
        </w:rPr>
        <w:t>45</w:t>
      </w:r>
      <w:r w:rsidRPr="00094BBC">
        <w:rPr>
          <w:rFonts w:ascii="仿宋_GB2312" w:eastAsia="仿宋_GB2312" w:hint="eastAsia"/>
          <w:sz w:val="28"/>
          <w:szCs w:val="28"/>
        </w:rPr>
        <w:t>人，</w:t>
      </w:r>
      <w:r w:rsidRPr="00094BBC">
        <w:rPr>
          <w:rFonts w:ascii="仿宋_GB2312" w:eastAsia="仿宋_GB2312"/>
          <w:sz w:val="28"/>
          <w:szCs w:val="28"/>
        </w:rPr>
        <w:t>2016</w:t>
      </w:r>
      <w:r w:rsidRPr="00094BBC">
        <w:rPr>
          <w:rFonts w:ascii="仿宋_GB2312" w:eastAsia="仿宋_GB2312" w:hint="eastAsia"/>
          <w:sz w:val="28"/>
          <w:szCs w:val="28"/>
        </w:rPr>
        <w:t>级新生报到率为</w:t>
      </w:r>
      <w:r w:rsidRPr="00094BBC">
        <w:rPr>
          <w:rFonts w:ascii="仿宋_GB2312" w:eastAsia="仿宋_GB2312"/>
          <w:sz w:val="28"/>
          <w:szCs w:val="28"/>
        </w:rPr>
        <w:t>100%</w:t>
      </w:r>
      <w:r w:rsidRPr="00094BBC">
        <w:rPr>
          <w:rFonts w:ascii="仿宋_GB2312" w:eastAsia="仿宋_GB2312" w:hint="eastAsia"/>
          <w:sz w:val="28"/>
          <w:szCs w:val="28"/>
        </w:rPr>
        <w:t>。</w:t>
      </w:r>
    </w:p>
    <w:p w:rsidR="009C6EE0" w:rsidRPr="00094BBC" w:rsidRDefault="009C6EE0" w:rsidP="00833DC7">
      <w:pPr>
        <w:adjustRightInd w:val="0"/>
        <w:snapToGrid w:val="0"/>
        <w:spacing w:beforeLines="50" w:line="360" w:lineRule="auto"/>
        <w:ind w:firstLineChars="200" w:firstLine="31680"/>
        <w:rPr>
          <w:rFonts w:ascii="宋体" w:cs="黑体"/>
          <w:b/>
          <w:sz w:val="28"/>
          <w:szCs w:val="28"/>
        </w:rPr>
      </w:pPr>
      <w:r w:rsidRPr="00094BBC">
        <w:rPr>
          <w:rFonts w:ascii="宋体" w:hAnsi="宋体" w:cs="黑体" w:hint="eastAsia"/>
          <w:b/>
          <w:sz w:val="28"/>
          <w:szCs w:val="28"/>
        </w:rPr>
        <w:t>六、毕业生就业创业</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学院加强对毕业生的创业教育，鼓励大学生先就业，后择业，再创业。同时，针对目前就业难问题，出台相关激励机制，鼓励大学生毕业生自主创业，并对大学生创业提供一定的帮助和支持，进一步减轻就业难的压力，取得了一定的成效。截止到</w:t>
      </w:r>
      <w:r w:rsidRPr="00094BBC">
        <w:rPr>
          <w:rFonts w:ascii="仿宋_GB2312" w:eastAsia="仿宋_GB2312"/>
          <w:sz w:val="28"/>
          <w:szCs w:val="28"/>
        </w:rPr>
        <w:t>2016</w:t>
      </w:r>
      <w:r w:rsidRPr="00094BBC">
        <w:rPr>
          <w:rFonts w:ascii="仿宋_GB2312" w:eastAsia="仿宋_GB2312" w:hint="eastAsia"/>
          <w:sz w:val="28"/>
          <w:szCs w:val="28"/>
        </w:rPr>
        <w:t>年</w:t>
      </w:r>
      <w:r w:rsidRPr="00094BBC">
        <w:rPr>
          <w:rFonts w:ascii="仿宋_GB2312" w:eastAsia="仿宋_GB2312"/>
          <w:sz w:val="28"/>
          <w:szCs w:val="28"/>
        </w:rPr>
        <w:t>11</w:t>
      </w:r>
      <w:r w:rsidRPr="00094BBC">
        <w:rPr>
          <w:rFonts w:ascii="仿宋_GB2312" w:eastAsia="仿宋_GB2312" w:hint="eastAsia"/>
          <w:sz w:val="28"/>
          <w:szCs w:val="28"/>
        </w:rPr>
        <w:t>月底，</w:t>
      </w:r>
      <w:r w:rsidRPr="00094BBC">
        <w:rPr>
          <w:rFonts w:ascii="仿宋_GB2312" w:eastAsia="仿宋_GB2312"/>
          <w:sz w:val="28"/>
          <w:szCs w:val="28"/>
        </w:rPr>
        <w:t>2016</w:t>
      </w:r>
      <w:r w:rsidRPr="00094BBC">
        <w:rPr>
          <w:rFonts w:ascii="仿宋_GB2312" w:eastAsia="仿宋_GB2312" w:hint="eastAsia"/>
          <w:sz w:val="28"/>
          <w:szCs w:val="28"/>
        </w:rPr>
        <w:t>届毕业生有一名同学创业，创办了广东左右视线摄影工作室。</w:t>
      </w:r>
    </w:p>
    <w:p w:rsidR="009C6EE0" w:rsidRPr="00094BBC" w:rsidRDefault="009C6EE0" w:rsidP="00833DC7">
      <w:pPr>
        <w:ind w:firstLineChars="200" w:firstLine="31680"/>
        <w:rPr>
          <w:rFonts w:ascii="黑体" w:eastAsia="黑体" w:hAnsi="黑体"/>
          <w:sz w:val="28"/>
          <w:szCs w:val="28"/>
        </w:rPr>
      </w:pPr>
      <w:r w:rsidRPr="00094BBC">
        <w:rPr>
          <w:rFonts w:ascii="黑体" w:eastAsia="黑体" w:hAnsi="黑体" w:hint="eastAsia"/>
          <w:sz w:val="28"/>
          <w:szCs w:val="28"/>
        </w:rPr>
        <w:t>七、专业发展趋势及建议</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本专业的发展趋势是由教师中心向学生中心的转变。在教学理念上，“以学生为主体，以教师为主导，充分发挥学生的主动性”已明确列入国家中长期教育改革和发展规划纲要。本专业改变传统课堂教学“以书本为中心、以课堂为中心、以教师为中心”的以“教”为重的教学模式，实施“以学生为中心、以学生学习为中心、以学习效果为中心”的以“学”为重的课堂教学改革。学生由“受体”变为“主体”，教师的职责不仅是授业，更重要的是培养学生在实践中自主学习、自主研究的习惯和能力。</w:t>
      </w:r>
    </w:p>
    <w:p w:rsidR="009C6EE0" w:rsidRPr="00094BBC" w:rsidRDefault="009C6EE0" w:rsidP="00833DC7">
      <w:pPr>
        <w:adjustRightInd w:val="0"/>
        <w:snapToGrid w:val="0"/>
        <w:spacing w:line="360" w:lineRule="auto"/>
        <w:ind w:firstLineChars="200" w:firstLine="31680"/>
        <w:rPr>
          <w:rFonts w:ascii="仿宋_GB2312" w:eastAsia="仿宋_GB2312"/>
          <w:sz w:val="28"/>
          <w:szCs w:val="28"/>
        </w:rPr>
      </w:pPr>
      <w:r w:rsidRPr="00094BBC">
        <w:rPr>
          <w:rFonts w:ascii="仿宋_GB2312" w:eastAsia="仿宋_GB2312" w:hint="eastAsia"/>
          <w:sz w:val="28"/>
          <w:szCs w:val="28"/>
        </w:rPr>
        <w:t>专业实施“三位一体”的软件工程专业教育教学综合改革，即“课程体系系统化、实践能力工程化、创新培养平台化”三位一体，构建软件工程专业工程化实践能力培养体系，打造从实验实训到创新创业的本科创新创业与孵化一体化平台，努力建设成为区域内高水平应用型软件人才培养的引领者，在全国形成影响力。</w:t>
      </w:r>
    </w:p>
    <w:p w:rsidR="009C6EE0" w:rsidRPr="00094BBC" w:rsidRDefault="009C6EE0" w:rsidP="00833DC7">
      <w:pPr>
        <w:ind w:firstLineChars="200" w:firstLine="31680"/>
        <w:rPr>
          <w:rFonts w:ascii="黑体" w:eastAsia="黑体" w:hAnsi="黑体"/>
          <w:sz w:val="28"/>
          <w:szCs w:val="28"/>
        </w:rPr>
      </w:pPr>
      <w:r w:rsidRPr="00094BBC">
        <w:rPr>
          <w:rFonts w:ascii="黑体" w:eastAsia="黑体" w:hAnsi="黑体" w:hint="eastAsia"/>
          <w:sz w:val="28"/>
          <w:szCs w:val="28"/>
        </w:rPr>
        <w:t>八、存在的问题及整改措施</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本专业整体情况良好，课程体系合理，师资队伍雄厚，配套设置完备，学术氛围浓厚。但是，个别方面还待完善，仍有提升空间。</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sz w:val="28"/>
          <w:szCs w:val="28"/>
        </w:rPr>
        <w:t>1</w:t>
      </w:r>
      <w:r w:rsidRPr="00094BBC">
        <w:rPr>
          <w:rFonts w:ascii="仿宋_GB2312" w:eastAsia="仿宋_GB2312" w:hint="eastAsia"/>
          <w:sz w:val="28"/>
          <w:szCs w:val="28"/>
        </w:rPr>
        <w:t>．专业知识更新快，人才队伍结构优化。目前我国经济正处于高速增长阶段，随着国民经济和社会信息化水平的提高，各行业对软件行业产品和服务的需求增速达到一个前所未有的水平。云计算、物联网、移动互联网、大数据等新技术、新业态蓬勃发展，商业模式、服务模式创新不断涌现。软件行业具有技术进步快、产品生命周期短、升级频繁等特点，从而要求专业的课程体系、教学内容、人才培养持续跟进，快速更新，以满足发展的需求，无形之中增大了人才培养工作的压力。</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sz w:val="28"/>
          <w:szCs w:val="28"/>
        </w:rPr>
        <w:t xml:space="preserve">    </w:t>
      </w:r>
      <w:r w:rsidRPr="00094BBC">
        <w:rPr>
          <w:rFonts w:ascii="仿宋_GB2312" w:eastAsia="仿宋_GB2312" w:hint="eastAsia"/>
          <w:sz w:val="28"/>
          <w:szCs w:val="28"/>
        </w:rPr>
        <w:t>对此，一要抓好教师队伍建设，提高教师教学能力和科研水平，加强教师培训和交流研讨，完善评优激励机制，提高教师积极性。二要加快跟踪反馈，针对行业变化和市场需求，及时做出研究调整，将教与研有机结合，以研促教，</w:t>
      </w:r>
      <w:r w:rsidRPr="00094BBC">
        <w:rPr>
          <w:rFonts w:ascii="仿宋_GB2312" w:eastAsia="仿宋_GB2312"/>
          <w:sz w:val="28"/>
          <w:szCs w:val="28"/>
        </w:rPr>
        <w:t xml:space="preserve"> </w:t>
      </w:r>
      <w:r w:rsidRPr="00094BBC">
        <w:rPr>
          <w:rFonts w:ascii="仿宋_GB2312" w:eastAsia="仿宋_GB2312" w:hint="eastAsia"/>
          <w:sz w:val="28"/>
          <w:szCs w:val="28"/>
        </w:rPr>
        <w:t>通过科研成果促进教学实践，提高教师专业素质。</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sz w:val="28"/>
          <w:szCs w:val="28"/>
        </w:rPr>
        <w:t>2</w:t>
      </w:r>
      <w:r w:rsidRPr="00094BBC">
        <w:rPr>
          <w:rFonts w:ascii="仿宋_GB2312" w:eastAsia="仿宋_GB2312" w:hint="eastAsia"/>
          <w:sz w:val="28"/>
          <w:szCs w:val="28"/>
        </w:rPr>
        <w:t>．师资队伍人数不足，缺口大。人才竞争是目前普通高校面临的最大挑战。本专业目前的师资队伍人数不足，存在缺口，由于多种原因导致的人才流失使教学、科研陷入困境，伴随着巨大损失。专业如何在自身条件许可的基础上，采取一系列行之有效的措施来引进、培养和留住高素质的人才，并使人尽其才，才尽其用，是当前人才培养工作的重要课题。</w:t>
      </w:r>
    </w:p>
    <w:p w:rsidR="009C6EE0" w:rsidRPr="00094BBC" w:rsidRDefault="009C6EE0" w:rsidP="00833DC7">
      <w:pPr>
        <w:ind w:firstLineChars="200" w:firstLine="31680"/>
        <w:rPr>
          <w:rFonts w:ascii="仿宋_GB2312" w:eastAsia="仿宋_GB2312"/>
          <w:sz w:val="28"/>
          <w:szCs w:val="28"/>
        </w:rPr>
      </w:pPr>
      <w:r w:rsidRPr="00094BBC">
        <w:rPr>
          <w:rFonts w:ascii="仿宋_GB2312" w:eastAsia="仿宋_GB2312" w:hint="eastAsia"/>
          <w:sz w:val="28"/>
          <w:szCs w:val="28"/>
        </w:rPr>
        <w:t>对此，首先要营造“尊重知识、尊重人才”的良好氛围，要爱才、惜才、大胆用才，为优秀人才施展才华开辟广阔空间。其次，要创造自由的学术氛围，鼓励他们创新求异，全身心投入到科研教学第一线。再次，要有相应的激励机制，从物质保障、人文关怀等多方面给予支持和鼓励。</w:t>
      </w:r>
    </w:p>
    <w:p w:rsidR="009C6EE0" w:rsidRPr="00094BBC" w:rsidRDefault="009C6EE0" w:rsidP="00833DC7">
      <w:pPr>
        <w:ind w:firstLineChars="200" w:firstLine="31680"/>
        <w:rPr>
          <w:rFonts w:ascii="仿宋_GB2312" w:eastAsia="仿宋_GB2312"/>
          <w:sz w:val="28"/>
          <w:szCs w:val="28"/>
        </w:rPr>
      </w:pPr>
    </w:p>
    <w:p w:rsidR="009C6EE0" w:rsidRPr="00094BBC" w:rsidRDefault="009C6EE0" w:rsidP="00513D01">
      <w:pPr>
        <w:ind w:firstLineChars="200" w:firstLine="31680"/>
        <w:rPr>
          <w:rFonts w:ascii="仿宋_GB2312" w:eastAsia="仿宋_GB2312"/>
          <w:b/>
          <w:sz w:val="28"/>
          <w:szCs w:val="28"/>
        </w:rPr>
      </w:pPr>
      <w:r w:rsidRPr="00094BBC">
        <w:rPr>
          <w:rFonts w:ascii="仿宋_GB2312" w:eastAsia="仿宋_GB2312" w:hint="eastAsia"/>
          <w:b/>
          <w:sz w:val="28"/>
          <w:szCs w:val="28"/>
        </w:rPr>
        <w:t>最后，数字媒体专业高度重视工程实践人才的培养，对现有课程体系、师资队伍、实验中心、实训中心和创新实验室建设投入大量关怀和支持。未来几年中，学院将继续投入大量资金以支持专业建设的发展，给予专业实验室建设、专业人才引进、实践调研、学科建设等方面的配套和保障，保障人才培养工作扎实有序开展。</w:t>
      </w:r>
      <w:bookmarkEnd w:id="0"/>
    </w:p>
    <w:sectPr w:rsidR="009C6EE0" w:rsidRPr="00094BBC" w:rsidSect="000C3C9C">
      <w:footerReference w:type="default" r:id="rId23"/>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EE0" w:rsidRDefault="009C6EE0">
      <w:r>
        <w:separator/>
      </w:r>
    </w:p>
  </w:endnote>
  <w:endnote w:type="continuationSeparator" w:id="0">
    <w:p w:rsidR="009C6EE0" w:rsidRDefault="009C6E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EE0" w:rsidRDefault="009C6EE0">
    <w:pPr>
      <w:pStyle w:val="Footer"/>
      <w:jc w:val="center"/>
    </w:pPr>
    <w:fldSimple w:instr=" PAGE   \* MERGEFORMAT ">
      <w:r w:rsidRPr="00833DC7">
        <w:rPr>
          <w:noProof/>
          <w:lang w:val="zh-CN"/>
        </w:rPr>
        <w:t>3</w:t>
      </w:r>
    </w:fldSimple>
  </w:p>
  <w:p w:rsidR="009C6EE0" w:rsidRDefault="009C6E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EE0" w:rsidRDefault="009C6EE0">
      <w:r>
        <w:separator/>
      </w:r>
    </w:p>
  </w:footnote>
  <w:footnote w:type="continuationSeparator" w:id="0">
    <w:p w:rsidR="009C6EE0" w:rsidRDefault="009C6E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33FB0"/>
    <w:multiLevelType w:val="hybridMultilevel"/>
    <w:tmpl w:val="3BC09A70"/>
    <w:lvl w:ilvl="0" w:tplc="8FD0B41C">
      <w:start w:val="1"/>
      <w:numFmt w:val="decimal"/>
      <w:lvlText w:val="（%1）"/>
      <w:lvlJc w:val="left"/>
      <w:pPr>
        <w:tabs>
          <w:tab w:val="num" w:pos="1280"/>
        </w:tabs>
        <w:ind w:left="1280" w:hanging="72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1">
    <w:nsid w:val="24A178E4"/>
    <w:multiLevelType w:val="hybridMultilevel"/>
    <w:tmpl w:val="626AD5FA"/>
    <w:lvl w:ilvl="0" w:tplc="4CC6A0B8">
      <w:start w:val="1"/>
      <w:numFmt w:val="decimal"/>
      <w:lvlText w:val="%1）"/>
      <w:lvlJc w:val="left"/>
      <w:pPr>
        <w:ind w:left="840" w:hanging="360"/>
      </w:pPr>
      <w:rPr>
        <w:rFonts w:cs="Times New Roman" w:hint="default"/>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
    <w:nsid w:val="3F251C84"/>
    <w:multiLevelType w:val="hybridMultilevel"/>
    <w:tmpl w:val="8B223A20"/>
    <w:lvl w:ilvl="0" w:tplc="84D8E03A">
      <w:start w:val="1"/>
      <w:numFmt w:val="decimal"/>
      <w:lvlText w:val="%1、"/>
      <w:lvlJc w:val="left"/>
      <w:pPr>
        <w:ind w:left="927" w:hanging="360"/>
      </w:pPr>
      <w:rPr>
        <w:rFonts w:cs="Times New Roman" w:hint="default"/>
      </w:rPr>
    </w:lvl>
    <w:lvl w:ilvl="1" w:tplc="04090019">
      <w:start w:val="1"/>
      <w:numFmt w:val="lowerLetter"/>
      <w:lvlText w:val="%2)"/>
      <w:lvlJc w:val="left"/>
      <w:pPr>
        <w:ind w:left="1407" w:hanging="420"/>
      </w:pPr>
      <w:rPr>
        <w:rFonts w:cs="Times New Roman"/>
      </w:rPr>
    </w:lvl>
    <w:lvl w:ilvl="2" w:tplc="0409001B">
      <w:start w:val="1"/>
      <w:numFmt w:val="lowerRoman"/>
      <w:lvlText w:val="%3."/>
      <w:lvlJc w:val="right"/>
      <w:pPr>
        <w:ind w:left="1827" w:hanging="420"/>
      </w:pPr>
      <w:rPr>
        <w:rFonts w:cs="Times New Roman"/>
      </w:rPr>
    </w:lvl>
    <w:lvl w:ilvl="3" w:tplc="0409000F">
      <w:start w:val="1"/>
      <w:numFmt w:val="decimal"/>
      <w:lvlText w:val="%4."/>
      <w:lvlJc w:val="left"/>
      <w:pPr>
        <w:ind w:left="2247" w:hanging="420"/>
      </w:pPr>
      <w:rPr>
        <w:rFonts w:cs="Times New Roman"/>
      </w:rPr>
    </w:lvl>
    <w:lvl w:ilvl="4" w:tplc="04090019">
      <w:start w:val="1"/>
      <w:numFmt w:val="lowerLetter"/>
      <w:lvlText w:val="%5)"/>
      <w:lvlJc w:val="left"/>
      <w:pPr>
        <w:ind w:left="2667" w:hanging="420"/>
      </w:pPr>
      <w:rPr>
        <w:rFonts w:cs="Times New Roman"/>
      </w:rPr>
    </w:lvl>
    <w:lvl w:ilvl="5" w:tplc="0409001B">
      <w:start w:val="1"/>
      <w:numFmt w:val="lowerRoman"/>
      <w:lvlText w:val="%6."/>
      <w:lvlJc w:val="right"/>
      <w:pPr>
        <w:ind w:left="3087" w:hanging="420"/>
      </w:pPr>
      <w:rPr>
        <w:rFonts w:cs="Times New Roman"/>
      </w:rPr>
    </w:lvl>
    <w:lvl w:ilvl="6" w:tplc="0409000F">
      <w:start w:val="1"/>
      <w:numFmt w:val="decimal"/>
      <w:lvlText w:val="%7."/>
      <w:lvlJc w:val="left"/>
      <w:pPr>
        <w:ind w:left="3507" w:hanging="420"/>
      </w:pPr>
      <w:rPr>
        <w:rFonts w:cs="Times New Roman"/>
      </w:rPr>
    </w:lvl>
    <w:lvl w:ilvl="7" w:tplc="04090019">
      <w:start w:val="1"/>
      <w:numFmt w:val="lowerLetter"/>
      <w:lvlText w:val="%8)"/>
      <w:lvlJc w:val="left"/>
      <w:pPr>
        <w:ind w:left="3927" w:hanging="420"/>
      </w:pPr>
      <w:rPr>
        <w:rFonts w:cs="Times New Roman"/>
      </w:rPr>
    </w:lvl>
    <w:lvl w:ilvl="8" w:tplc="0409001B">
      <w:start w:val="1"/>
      <w:numFmt w:val="lowerRoman"/>
      <w:lvlText w:val="%9."/>
      <w:lvlJc w:val="right"/>
      <w:pPr>
        <w:ind w:left="4347" w:hanging="420"/>
      </w:pPr>
      <w:rPr>
        <w:rFonts w:cs="Times New Roman"/>
      </w:rPr>
    </w:lvl>
  </w:abstractNum>
  <w:abstractNum w:abstractNumId="3">
    <w:nsid w:val="6C647EBA"/>
    <w:multiLevelType w:val="hybridMultilevel"/>
    <w:tmpl w:val="C2BC59E2"/>
    <w:lvl w:ilvl="0" w:tplc="D7EAAEFE">
      <w:start w:val="4"/>
      <w:numFmt w:val="decimal"/>
      <w:lvlText w:val="%1．"/>
      <w:lvlJc w:val="left"/>
      <w:pPr>
        <w:ind w:left="1200" w:hanging="720"/>
      </w:pPr>
      <w:rPr>
        <w:rFonts w:ascii="宋体" w:eastAsia="宋体" w:hAnsi="宋体" w:cs="宋体" w:hint="default"/>
        <w:b w:val="0"/>
        <w:color w:val="auto"/>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
    <w:nsid w:val="7EB11C58"/>
    <w:multiLevelType w:val="hybridMultilevel"/>
    <w:tmpl w:val="E93E89DC"/>
    <w:lvl w:ilvl="0" w:tplc="4118C9F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15E"/>
    <w:rsid w:val="0000518D"/>
    <w:rsid w:val="000246A6"/>
    <w:rsid w:val="00036254"/>
    <w:rsid w:val="00042E41"/>
    <w:rsid w:val="0004663A"/>
    <w:rsid w:val="0005192A"/>
    <w:rsid w:val="00053DB8"/>
    <w:rsid w:val="00057683"/>
    <w:rsid w:val="00060120"/>
    <w:rsid w:val="000605EC"/>
    <w:rsid w:val="00070CF3"/>
    <w:rsid w:val="00081C36"/>
    <w:rsid w:val="00094BBC"/>
    <w:rsid w:val="000A473A"/>
    <w:rsid w:val="000C3C9C"/>
    <w:rsid w:val="000D7199"/>
    <w:rsid w:val="000E3B2F"/>
    <w:rsid w:val="000F308C"/>
    <w:rsid w:val="0010389F"/>
    <w:rsid w:val="00104B05"/>
    <w:rsid w:val="001058D0"/>
    <w:rsid w:val="0011758E"/>
    <w:rsid w:val="0012315B"/>
    <w:rsid w:val="0013051A"/>
    <w:rsid w:val="00134B68"/>
    <w:rsid w:val="00137791"/>
    <w:rsid w:val="001379D4"/>
    <w:rsid w:val="00147130"/>
    <w:rsid w:val="00150B9C"/>
    <w:rsid w:val="00153772"/>
    <w:rsid w:val="00153EDA"/>
    <w:rsid w:val="001901B1"/>
    <w:rsid w:val="001A144E"/>
    <w:rsid w:val="001A47FC"/>
    <w:rsid w:val="001A606E"/>
    <w:rsid w:val="001B166F"/>
    <w:rsid w:val="001C02BB"/>
    <w:rsid w:val="001C33AD"/>
    <w:rsid w:val="001C6551"/>
    <w:rsid w:val="001E037D"/>
    <w:rsid w:val="001F3CE8"/>
    <w:rsid w:val="002052AB"/>
    <w:rsid w:val="00207F9E"/>
    <w:rsid w:val="0021137F"/>
    <w:rsid w:val="002143FD"/>
    <w:rsid w:val="00217D24"/>
    <w:rsid w:val="00220F31"/>
    <w:rsid w:val="002277AB"/>
    <w:rsid w:val="002331D0"/>
    <w:rsid w:val="00234DB4"/>
    <w:rsid w:val="002422BB"/>
    <w:rsid w:val="002476E4"/>
    <w:rsid w:val="0025277D"/>
    <w:rsid w:val="00262710"/>
    <w:rsid w:val="002738D0"/>
    <w:rsid w:val="002777D8"/>
    <w:rsid w:val="002807AD"/>
    <w:rsid w:val="00282828"/>
    <w:rsid w:val="002853C1"/>
    <w:rsid w:val="00294F63"/>
    <w:rsid w:val="00296CF5"/>
    <w:rsid w:val="002A6C92"/>
    <w:rsid w:val="002B788A"/>
    <w:rsid w:val="002C2D00"/>
    <w:rsid w:val="002C3F47"/>
    <w:rsid w:val="002F5D4C"/>
    <w:rsid w:val="003052FD"/>
    <w:rsid w:val="00311BB5"/>
    <w:rsid w:val="003163C9"/>
    <w:rsid w:val="00317FAD"/>
    <w:rsid w:val="003211C7"/>
    <w:rsid w:val="003215D7"/>
    <w:rsid w:val="00340D9A"/>
    <w:rsid w:val="00346CAE"/>
    <w:rsid w:val="003530DE"/>
    <w:rsid w:val="00353E2C"/>
    <w:rsid w:val="00361C2A"/>
    <w:rsid w:val="00362CBC"/>
    <w:rsid w:val="00363A19"/>
    <w:rsid w:val="00376A2E"/>
    <w:rsid w:val="00384511"/>
    <w:rsid w:val="003861C4"/>
    <w:rsid w:val="0039563D"/>
    <w:rsid w:val="003969B8"/>
    <w:rsid w:val="003B2402"/>
    <w:rsid w:val="003B29C3"/>
    <w:rsid w:val="003B2CF9"/>
    <w:rsid w:val="003B7BE1"/>
    <w:rsid w:val="003C31BD"/>
    <w:rsid w:val="003D3E28"/>
    <w:rsid w:val="003D4E42"/>
    <w:rsid w:val="003E217C"/>
    <w:rsid w:val="003F4ED7"/>
    <w:rsid w:val="004032C6"/>
    <w:rsid w:val="00404E4B"/>
    <w:rsid w:val="00412982"/>
    <w:rsid w:val="004238F6"/>
    <w:rsid w:val="00425B7D"/>
    <w:rsid w:val="00432923"/>
    <w:rsid w:val="0043467B"/>
    <w:rsid w:val="0043494C"/>
    <w:rsid w:val="004349A5"/>
    <w:rsid w:val="00434A16"/>
    <w:rsid w:val="0044627A"/>
    <w:rsid w:val="00447474"/>
    <w:rsid w:val="00470527"/>
    <w:rsid w:val="0047699A"/>
    <w:rsid w:val="00477483"/>
    <w:rsid w:val="00481705"/>
    <w:rsid w:val="0048188E"/>
    <w:rsid w:val="00483D88"/>
    <w:rsid w:val="00492656"/>
    <w:rsid w:val="00492E33"/>
    <w:rsid w:val="0049449D"/>
    <w:rsid w:val="004D033D"/>
    <w:rsid w:val="004E79A4"/>
    <w:rsid w:val="004E7BE5"/>
    <w:rsid w:val="0050615D"/>
    <w:rsid w:val="00512F62"/>
    <w:rsid w:val="00513D01"/>
    <w:rsid w:val="00520D1A"/>
    <w:rsid w:val="0052200F"/>
    <w:rsid w:val="00522549"/>
    <w:rsid w:val="005229D4"/>
    <w:rsid w:val="00527AE2"/>
    <w:rsid w:val="00527DA5"/>
    <w:rsid w:val="00533145"/>
    <w:rsid w:val="00533C1B"/>
    <w:rsid w:val="00537143"/>
    <w:rsid w:val="0055673D"/>
    <w:rsid w:val="00563E2C"/>
    <w:rsid w:val="00572230"/>
    <w:rsid w:val="005753B7"/>
    <w:rsid w:val="00583EC8"/>
    <w:rsid w:val="0058656E"/>
    <w:rsid w:val="00594942"/>
    <w:rsid w:val="005B2C54"/>
    <w:rsid w:val="005C7734"/>
    <w:rsid w:val="005D3C0B"/>
    <w:rsid w:val="005D585F"/>
    <w:rsid w:val="006023FF"/>
    <w:rsid w:val="00607394"/>
    <w:rsid w:val="00610E29"/>
    <w:rsid w:val="0061240E"/>
    <w:rsid w:val="00612F99"/>
    <w:rsid w:val="00615DFA"/>
    <w:rsid w:val="00623984"/>
    <w:rsid w:val="00627B0B"/>
    <w:rsid w:val="00637444"/>
    <w:rsid w:val="006456A6"/>
    <w:rsid w:val="00672A01"/>
    <w:rsid w:val="00674B2F"/>
    <w:rsid w:val="00674EEA"/>
    <w:rsid w:val="00680E05"/>
    <w:rsid w:val="00681633"/>
    <w:rsid w:val="006B04BA"/>
    <w:rsid w:val="006B35D1"/>
    <w:rsid w:val="006B4CEC"/>
    <w:rsid w:val="006B7309"/>
    <w:rsid w:val="006B7A99"/>
    <w:rsid w:val="006C6A2B"/>
    <w:rsid w:val="006C6E76"/>
    <w:rsid w:val="006C7E65"/>
    <w:rsid w:val="006D02D3"/>
    <w:rsid w:val="006D3BBC"/>
    <w:rsid w:val="006E2A30"/>
    <w:rsid w:val="006F2A64"/>
    <w:rsid w:val="00700D34"/>
    <w:rsid w:val="007044F8"/>
    <w:rsid w:val="00707159"/>
    <w:rsid w:val="00707F93"/>
    <w:rsid w:val="00720747"/>
    <w:rsid w:val="00721900"/>
    <w:rsid w:val="00722DC9"/>
    <w:rsid w:val="007249EF"/>
    <w:rsid w:val="00727B14"/>
    <w:rsid w:val="00732A6A"/>
    <w:rsid w:val="00733BFA"/>
    <w:rsid w:val="00734493"/>
    <w:rsid w:val="00745246"/>
    <w:rsid w:val="00752017"/>
    <w:rsid w:val="00760BDE"/>
    <w:rsid w:val="0076239A"/>
    <w:rsid w:val="00773FEE"/>
    <w:rsid w:val="00774A35"/>
    <w:rsid w:val="007903E6"/>
    <w:rsid w:val="00796A19"/>
    <w:rsid w:val="00797DF7"/>
    <w:rsid w:val="007A2DBE"/>
    <w:rsid w:val="007A44AC"/>
    <w:rsid w:val="007B09D4"/>
    <w:rsid w:val="007B4DEC"/>
    <w:rsid w:val="007B5EE1"/>
    <w:rsid w:val="007C5A75"/>
    <w:rsid w:val="007D6844"/>
    <w:rsid w:val="007E63F9"/>
    <w:rsid w:val="007E65D2"/>
    <w:rsid w:val="007F1D7E"/>
    <w:rsid w:val="007F2E83"/>
    <w:rsid w:val="007F5D68"/>
    <w:rsid w:val="00804A37"/>
    <w:rsid w:val="00810B68"/>
    <w:rsid w:val="00813FFE"/>
    <w:rsid w:val="00816EB4"/>
    <w:rsid w:val="00827B0B"/>
    <w:rsid w:val="00833DC7"/>
    <w:rsid w:val="0084205E"/>
    <w:rsid w:val="00843564"/>
    <w:rsid w:val="00844635"/>
    <w:rsid w:val="00847D3A"/>
    <w:rsid w:val="00847DB1"/>
    <w:rsid w:val="008537D1"/>
    <w:rsid w:val="00866E29"/>
    <w:rsid w:val="00877ACA"/>
    <w:rsid w:val="00887D71"/>
    <w:rsid w:val="00894677"/>
    <w:rsid w:val="00896583"/>
    <w:rsid w:val="008A30AD"/>
    <w:rsid w:val="008A63C8"/>
    <w:rsid w:val="008D1417"/>
    <w:rsid w:val="008D4528"/>
    <w:rsid w:val="008E412F"/>
    <w:rsid w:val="008F0B84"/>
    <w:rsid w:val="008F6686"/>
    <w:rsid w:val="008F781B"/>
    <w:rsid w:val="009239F2"/>
    <w:rsid w:val="00932494"/>
    <w:rsid w:val="009340D4"/>
    <w:rsid w:val="00936A05"/>
    <w:rsid w:val="00936FA4"/>
    <w:rsid w:val="00941D90"/>
    <w:rsid w:val="0097191D"/>
    <w:rsid w:val="00994878"/>
    <w:rsid w:val="009A1CAE"/>
    <w:rsid w:val="009A39E0"/>
    <w:rsid w:val="009A529D"/>
    <w:rsid w:val="009B1DE7"/>
    <w:rsid w:val="009C23EB"/>
    <w:rsid w:val="009C6EE0"/>
    <w:rsid w:val="009D1F61"/>
    <w:rsid w:val="009D4071"/>
    <w:rsid w:val="009E6DDA"/>
    <w:rsid w:val="009F58DD"/>
    <w:rsid w:val="00A14364"/>
    <w:rsid w:val="00A25DE8"/>
    <w:rsid w:val="00A30E88"/>
    <w:rsid w:val="00A35343"/>
    <w:rsid w:val="00A422F3"/>
    <w:rsid w:val="00A45AD3"/>
    <w:rsid w:val="00A46421"/>
    <w:rsid w:val="00A5722E"/>
    <w:rsid w:val="00A6249D"/>
    <w:rsid w:val="00A62A8E"/>
    <w:rsid w:val="00A77FC4"/>
    <w:rsid w:val="00A91ED4"/>
    <w:rsid w:val="00A94EA5"/>
    <w:rsid w:val="00AB2428"/>
    <w:rsid w:val="00AB53F2"/>
    <w:rsid w:val="00AC0B09"/>
    <w:rsid w:val="00AC4CDB"/>
    <w:rsid w:val="00AC6D87"/>
    <w:rsid w:val="00AD0F3E"/>
    <w:rsid w:val="00AF39BC"/>
    <w:rsid w:val="00AF60FA"/>
    <w:rsid w:val="00B03BB8"/>
    <w:rsid w:val="00B044F7"/>
    <w:rsid w:val="00B07ECA"/>
    <w:rsid w:val="00B122CE"/>
    <w:rsid w:val="00B22F12"/>
    <w:rsid w:val="00B3046D"/>
    <w:rsid w:val="00B377E1"/>
    <w:rsid w:val="00B43D37"/>
    <w:rsid w:val="00B55516"/>
    <w:rsid w:val="00B57978"/>
    <w:rsid w:val="00B616EA"/>
    <w:rsid w:val="00B64328"/>
    <w:rsid w:val="00B95B01"/>
    <w:rsid w:val="00B96415"/>
    <w:rsid w:val="00B9679E"/>
    <w:rsid w:val="00BA0CE2"/>
    <w:rsid w:val="00BB0769"/>
    <w:rsid w:val="00BC1C86"/>
    <w:rsid w:val="00BC2E35"/>
    <w:rsid w:val="00BC38F4"/>
    <w:rsid w:val="00BE5484"/>
    <w:rsid w:val="00BE6721"/>
    <w:rsid w:val="00BE6A84"/>
    <w:rsid w:val="00BF0A45"/>
    <w:rsid w:val="00BF388A"/>
    <w:rsid w:val="00C02CB6"/>
    <w:rsid w:val="00C03799"/>
    <w:rsid w:val="00C14D2B"/>
    <w:rsid w:val="00C17CB5"/>
    <w:rsid w:val="00C255F2"/>
    <w:rsid w:val="00C2740F"/>
    <w:rsid w:val="00C31AD5"/>
    <w:rsid w:val="00C35B1F"/>
    <w:rsid w:val="00C40F11"/>
    <w:rsid w:val="00C47127"/>
    <w:rsid w:val="00C64A22"/>
    <w:rsid w:val="00C77D21"/>
    <w:rsid w:val="00C806FA"/>
    <w:rsid w:val="00C85003"/>
    <w:rsid w:val="00C96EBD"/>
    <w:rsid w:val="00CA6922"/>
    <w:rsid w:val="00CB5E6D"/>
    <w:rsid w:val="00CD30AF"/>
    <w:rsid w:val="00CD5D90"/>
    <w:rsid w:val="00CE27C5"/>
    <w:rsid w:val="00CE4747"/>
    <w:rsid w:val="00CF25A9"/>
    <w:rsid w:val="00CF367C"/>
    <w:rsid w:val="00CF5B05"/>
    <w:rsid w:val="00CF63E8"/>
    <w:rsid w:val="00D0160E"/>
    <w:rsid w:val="00D06147"/>
    <w:rsid w:val="00D06BE9"/>
    <w:rsid w:val="00D113E2"/>
    <w:rsid w:val="00D1503B"/>
    <w:rsid w:val="00D16753"/>
    <w:rsid w:val="00D22FA6"/>
    <w:rsid w:val="00D2398B"/>
    <w:rsid w:val="00D37E3B"/>
    <w:rsid w:val="00D43C29"/>
    <w:rsid w:val="00D456C8"/>
    <w:rsid w:val="00D459DB"/>
    <w:rsid w:val="00D45DF5"/>
    <w:rsid w:val="00D549A6"/>
    <w:rsid w:val="00D630F0"/>
    <w:rsid w:val="00D66413"/>
    <w:rsid w:val="00D74532"/>
    <w:rsid w:val="00D80895"/>
    <w:rsid w:val="00D82C0D"/>
    <w:rsid w:val="00D8320C"/>
    <w:rsid w:val="00D9339D"/>
    <w:rsid w:val="00DA6D63"/>
    <w:rsid w:val="00DA6E2C"/>
    <w:rsid w:val="00DB116E"/>
    <w:rsid w:val="00DB15FF"/>
    <w:rsid w:val="00DB3C57"/>
    <w:rsid w:val="00DD1DF0"/>
    <w:rsid w:val="00DE4760"/>
    <w:rsid w:val="00DE6243"/>
    <w:rsid w:val="00DF3E4B"/>
    <w:rsid w:val="00DF6219"/>
    <w:rsid w:val="00E128FE"/>
    <w:rsid w:val="00E13202"/>
    <w:rsid w:val="00E14B3B"/>
    <w:rsid w:val="00E25C02"/>
    <w:rsid w:val="00E262FD"/>
    <w:rsid w:val="00E45F0C"/>
    <w:rsid w:val="00E63EEB"/>
    <w:rsid w:val="00E81472"/>
    <w:rsid w:val="00E9462C"/>
    <w:rsid w:val="00E95699"/>
    <w:rsid w:val="00EA1148"/>
    <w:rsid w:val="00EB0923"/>
    <w:rsid w:val="00EB3788"/>
    <w:rsid w:val="00EB671F"/>
    <w:rsid w:val="00EC0613"/>
    <w:rsid w:val="00EC2361"/>
    <w:rsid w:val="00EC7526"/>
    <w:rsid w:val="00ED1B95"/>
    <w:rsid w:val="00EE43A4"/>
    <w:rsid w:val="00EF525C"/>
    <w:rsid w:val="00EF7698"/>
    <w:rsid w:val="00EF7E99"/>
    <w:rsid w:val="00F07CDE"/>
    <w:rsid w:val="00F173B6"/>
    <w:rsid w:val="00F46E68"/>
    <w:rsid w:val="00F55469"/>
    <w:rsid w:val="00F55933"/>
    <w:rsid w:val="00F607F3"/>
    <w:rsid w:val="00F62B83"/>
    <w:rsid w:val="00F76C17"/>
    <w:rsid w:val="00F83DBE"/>
    <w:rsid w:val="00F85C04"/>
    <w:rsid w:val="00F85C4A"/>
    <w:rsid w:val="00FA1294"/>
    <w:rsid w:val="00FC31FD"/>
    <w:rsid w:val="00FD51FC"/>
    <w:rsid w:val="00FE215E"/>
    <w:rsid w:val="00FE38EA"/>
    <w:rsid w:val="00FE64D7"/>
    <w:rsid w:val="00FF2D3E"/>
    <w:rsid w:val="00FF501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15E"/>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E215E"/>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sid w:val="00FE215E"/>
    <w:rPr>
      <w:rFonts w:ascii="Times New Roman" w:eastAsia="宋体" w:hAnsi="Times New Roman"/>
      <w:sz w:val="18"/>
    </w:rPr>
  </w:style>
  <w:style w:type="table" w:styleId="TableGrid">
    <w:name w:val="Table Grid"/>
    <w:basedOn w:val="TableNormal"/>
    <w:uiPriority w:val="99"/>
    <w:rsid w:val="00FE215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99"/>
    <w:qFormat/>
    <w:rsid w:val="00FE215E"/>
    <w:rPr>
      <w:b/>
      <w:smallCaps/>
      <w:color w:val="auto"/>
      <w:spacing w:val="5"/>
    </w:rPr>
  </w:style>
  <w:style w:type="paragraph" w:styleId="ListParagraph">
    <w:name w:val="List Paragraph"/>
    <w:basedOn w:val="Normal"/>
    <w:uiPriority w:val="99"/>
    <w:qFormat/>
    <w:rsid w:val="001B166F"/>
    <w:pPr>
      <w:ind w:firstLineChars="200" w:firstLine="420"/>
    </w:pPr>
  </w:style>
  <w:style w:type="paragraph" w:styleId="Header">
    <w:name w:val="header"/>
    <w:basedOn w:val="Normal"/>
    <w:link w:val="HeaderChar"/>
    <w:uiPriority w:val="99"/>
    <w:semiHidden/>
    <w:rsid w:val="009D4071"/>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9D4071"/>
    <w:rPr>
      <w:rFonts w:ascii="Times New Roman" w:eastAsia="宋体" w:hAnsi="Times New Roman"/>
      <w:sz w:val="18"/>
    </w:rPr>
  </w:style>
  <w:style w:type="paragraph" w:customStyle="1" w:styleId="CM9">
    <w:name w:val="CM9"/>
    <w:basedOn w:val="Normal"/>
    <w:next w:val="Normal"/>
    <w:uiPriority w:val="99"/>
    <w:rsid w:val="00D630F0"/>
    <w:pPr>
      <w:autoSpaceDE w:val="0"/>
      <w:autoSpaceDN w:val="0"/>
      <w:adjustRightInd w:val="0"/>
      <w:spacing w:line="468" w:lineRule="atLeast"/>
      <w:jc w:val="left"/>
    </w:pPr>
    <w:rPr>
      <w:rFonts w:ascii="楷体_GB2312" w:eastAsia="楷体_GB2312" w:cs="楷体_GB2312"/>
      <w:kern w:val="0"/>
      <w:sz w:val="24"/>
      <w:szCs w:val="24"/>
    </w:rPr>
  </w:style>
  <w:style w:type="paragraph" w:customStyle="1" w:styleId="CM6">
    <w:name w:val="CM6"/>
    <w:basedOn w:val="Normal"/>
    <w:next w:val="Normal"/>
    <w:uiPriority w:val="99"/>
    <w:rsid w:val="00F55933"/>
    <w:pPr>
      <w:autoSpaceDE w:val="0"/>
      <w:autoSpaceDN w:val="0"/>
      <w:adjustRightInd w:val="0"/>
      <w:spacing w:line="468" w:lineRule="atLeast"/>
      <w:jc w:val="left"/>
    </w:pPr>
    <w:rPr>
      <w:rFonts w:ascii="楷体_GB2312" w:eastAsia="楷体_GB2312" w:cs="楷体_GB2312"/>
      <w:kern w:val="0"/>
      <w:sz w:val="24"/>
      <w:szCs w:val="24"/>
    </w:rPr>
  </w:style>
  <w:style w:type="paragraph" w:styleId="Subtitle">
    <w:name w:val="Subtitle"/>
    <w:basedOn w:val="Normal"/>
    <w:next w:val="Normal"/>
    <w:link w:val="SubtitleChar"/>
    <w:uiPriority w:val="99"/>
    <w:qFormat/>
    <w:locked/>
    <w:rsid w:val="00060120"/>
    <w:pPr>
      <w:spacing w:before="240" w:after="60" w:line="312" w:lineRule="auto"/>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060120"/>
    <w:rPr>
      <w:rFonts w:ascii="Cambria" w:hAnsi="Cambria"/>
      <w:b/>
      <w:kern w:val="28"/>
      <w:sz w:val="32"/>
    </w:rPr>
  </w:style>
  <w:style w:type="paragraph" w:customStyle="1" w:styleId="CM11">
    <w:name w:val="CM11"/>
    <w:basedOn w:val="Normal"/>
    <w:next w:val="Normal"/>
    <w:uiPriority w:val="99"/>
    <w:rsid w:val="00060120"/>
    <w:pPr>
      <w:autoSpaceDE w:val="0"/>
      <w:autoSpaceDN w:val="0"/>
      <w:adjustRightInd w:val="0"/>
      <w:spacing w:line="468" w:lineRule="atLeast"/>
      <w:jc w:val="left"/>
    </w:pPr>
    <w:rPr>
      <w:rFonts w:ascii="楷体_GB2312" w:eastAsia="楷体_GB2312" w:cs="楷体_GB2312"/>
      <w:kern w:val="0"/>
      <w:sz w:val="24"/>
      <w:szCs w:val="24"/>
    </w:rPr>
  </w:style>
  <w:style w:type="paragraph" w:styleId="BalloonText">
    <w:name w:val="Balloon Text"/>
    <w:basedOn w:val="Normal"/>
    <w:link w:val="BalloonTextChar"/>
    <w:uiPriority w:val="99"/>
    <w:semiHidden/>
    <w:rsid w:val="00D1503B"/>
    <w:rPr>
      <w:sz w:val="18"/>
      <w:szCs w:val="18"/>
    </w:rPr>
  </w:style>
  <w:style w:type="character" w:customStyle="1" w:styleId="BalloonTextChar">
    <w:name w:val="Balloon Text Char"/>
    <w:basedOn w:val="DefaultParagraphFont"/>
    <w:link w:val="BalloonText"/>
    <w:uiPriority w:val="99"/>
    <w:semiHidden/>
    <w:locked/>
    <w:rsid w:val="00D1503B"/>
    <w:rPr>
      <w:rFonts w:ascii="Times New Roman" w:hAnsi="Times New Roman"/>
      <w:kern w:val="2"/>
      <w:sz w:val="18"/>
    </w:rPr>
  </w:style>
</w:styles>
</file>

<file path=word/webSettings.xml><?xml version="1.0" encoding="utf-8"?>
<w:webSettings xmlns:r="http://schemas.openxmlformats.org/officeDocument/2006/relationships" xmlns:w="http://schemas.openxmlformats.org/wordprocessingml/2006/main">
  <w:divs>
    <w:div w:id="33311471">
      <w:marLeft w:val="0"/>
      <w:marRight w:val="0"/>
      <w:marTop w:val="0"/>
      <w:marBottom w:val="0"/>
      <w:divBdr>
        <w:top w:val="none" w:sz="0" w:space="0" w:color="auto"/>
        <w:left w:val="none" w:sz="0" w:space="0" w:color="auto"/>
        <w:bottom w:val="none" w:sz="0" w:space="0" w:color="auto"/>
        <w:right w:val="none" w:sz="0" w:space="0" w:color="auto"/>
      </w:divBdr>
    </w:div>
    <w:div w:id="33311472">
      <w:marLeft w:val="0"/>
      <w:marRight w:val="0"/>
      <w:marTop w:val="0"/>
      <w:marBottom w:val="0"/>
      <w:divBdr>
        <w:top w:val="none" w:sz="0" w:space="0" w:color="auto"/>
        <w:left w:val="none" w:sz="0" w:space="0" w:color="auto"/>
        <w:bottom w:val="none" w:sz="0" w:space="0" w:color="auto"/>
        <w:right w:val="none" w:sz="0" w:space="0" w:color="auto"/>
      </w:divBdr>
    </w:div>
    <w:div w:id="333114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baike.baidu.com/view/193493.ht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300</TotalTime>
  <Pages>23</Pages>
  <Words>1859</Words>
  <Characters>10599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oempc</dc:creator>
  <cp:keywords/>
  <dc:description/>
  <cp:lastModifiedBy>Lenovo User</cp:lastModifiedBy>
  <cp:revision>32</cp:revision>
  <dcterms:created xsi:type="dcterms:W3CDTF">2015-12-20T04:56:00Z</dcterms:created>
  <dcterms:modified xsi:type="dcterms:W3CDTF">2016-11-30T00:03:00Z</dcterms:modified>
</cp:coreProperties>
</file>